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A0DBB" w14:textId="0DAD1E12" w:rsidR="00513015" w:rsidRDefault="00513015">
      <w:r>
        <w:rPr>
          <w:noProof/>
        </w:rPr>
        <w:drawing>
          <wp:inline distT="0" distB="0" distL="0" distR="0" wp14:anchorId="307CD664" wp14:editId="7C4D3D08">
            <wp:extent cx="5486400" cy="1025525"/>
            <wp:effectExtent l="0" t="0" r="0" b="0"/>
            <wp:docPr id="1202881934" name="Picture 1" descr="A close-up of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881934" name="Picture 1" descr="A close-up of a black background&#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86400" cy="1025525"/>
                    </a:xfrm>
                    <a:prstGeom prst="rect">
                      <a:avLst/>
                    </a:prstGeom>
                    <a:noFill/>
                    <a:ln>
                      <a:noFill/>
                    </a:ln>
                  </pic:spPr>
                </pic:pic>
              </a:graphicData>
            </a:graphic>
          </wp:inline>
        </w:drawing>
      </w:r>
    </w:p>
    <w:p w14:paraId="4B4B8483" w14:textId="77900869" w:rsidR="00513015" w:rsidRPr="00513015" w:rsidRDefault="00513015" w:rsidP="00513015">
      <w:pPr>
        <w:spacing w:after="0"/>
        <w:rPr>
          <w:rFonts w:ascii="Times New Roman" w:hAnsi="Times New Roman" w:cs="Times New Roman"/>
        </w:rPr>
      </w:pPr>
      <w:r>
        <w:rPr>
          <w:rFonts w:ascii="Times New Roman" w:hAnsi="Times New Roman" w:cs="Times New Roman"/>
        </w:rPr>
        <w:t>August 11</w:t>
      </w:r>
      <w:r w:rsidRPr="00513015">
        <w:rPr>
          <w:rFonts w:ascii="Times New Roman" w:hAnsi="Times New Roman" w:cs="Times New Roman"/>
        </w:rPr>
        <w:t>, 2026</w:t>
      </w:r>
    </w:p>
    <w:p w14:paraId="2B276F81" w14:textId="77777777" w:rsidR="00513015" w:rsidRPr="00513015" w:rsidRDefault="00513015" w:rsidP="00513015">
      <w:pPr>
        <w:spacing w:after="0"/>
        <w:rPr>
          <w:rFonts w:ascii="Times New Roman" w:hAnsi="Times New Roman" w:cs="Times New Roman"/>
        </w:rPr>
      </w:pPr>
    </w:p>
    <w:p w14:paraId="22ED8081" w14:textId="77777777" w:rsidR="00513015" w:rsidRPr="00513015" w:rsidRDefault="00513015" w:rsidP="00513015">
      <w:pPr>
        <w:tabs>
          <w:tab w:val="left" w:pos="6390"/>
        </w:tabs>
        <w:spacing w:after="0"/>
        <w:rPr>
          <w:rFonts w:ascii="Times New Roman" w:hAnsi="Times New Roman" w:cs="Times New Roman"/>
        </w:rPr>
      </w:pPr>
      <w:r w:rsidRPr="00513015">
        <w:rPr>
          <w:rFonts w:ascii="Times New Roman" w:hAnsi="Times New Roman" w:cs="Times New Roman"/>
        </w:rPr>
        <w:tab/>
      </w:r>
    </w:p>
    <w:p w14:paraId="0C67AA23" w14:textId="77777777" w:rsidR="00513015" w:rsidRPr="00513015" w:rsidRDefault="00513015" w:rsidP="00513015">
      <w:pPr>
        <w:spacing w:after="0"/>
        <w:rPr>
          <w:rFonts w:ascii="Times New Roman" w:hAnsi="Times New Roman" w:cs="Times New Roman"/>
        </w:rPr>
      </w:pPr>
      <w:r w:rsidRPr="00513015">
        <w:rPr>
          <w:rFonts w:ascii="Times New Roman" w:hAnsi="Times New Roman" w:cs="Times New Roman"/>
        </w:rPr>
        <w:t>Rajinder Sahota</w:t>
      </w:r>
    </w:p>
    <w:p w14:paraId="7FF6A8F3" w14:textId="77777777" w:rsidR="00513015" w:rsidRPr="00513015" w:rsidRDefault="00513015" w:rsidP="00513015">
      <w:pPr>
        <w:tabs>
          <w:tab w:val="left" w:pos="5540"/>
        </w:tabs>
        <w:spacing w:after="0"/>
        <w:rPr>
          <w:rFonts w:ascii="Times New Roman" w:hAnsi="Times New Roman" w:cs="Times New Roman"/>
        </w:rPr>
      </w:pPr>
      <w:r w:rsidRPr="00513015">
        <w:rPr>
          <w:rFonts w:ascii="Times New Roman" w:hAnsi="Times New Roman" w:cs="Times New Roman"/>
        </w:rPr>
        <w:t>Deputy Executive Officer</w:t>
      </w:r>
      <w:r w:rsidRPr="00513015">
        <w:rPr>
          <w:rFonts w:ascii="Times New Roman" w:hAnsi="Times New Roman" w:cs="Times New Roman"/>
        </w:rPr>
        <w:tab/>
      </w:r>
    </w:p>
    <w:p w14:paraId="34BC60DF" w14:textId="77777777" w:rsidR="00513015" w:rsidRPr="00513015" w:rsidRDefault="00513015" w:rsidP="00513015">
      <w:pPr>
        <w:spacing w:after="0"/>
        <w:rPr>
          <w:rFonts w:ascii="Times New Roman" w:hAnsi="Times New Roman" w:cs="Times New Roman"/>
        </w:rPr>
      </w:pPr>
      <w:r w:rsidRPr="00513015">
        <w:rPr>
          <w:rFonts w:ascii="Times New Roman" w:hAnsi="Times New Roman" w:cs="Times New Roman"/>
        </w:rPr>
        <w:t>California Air Resources Board</w:t>
      </w:r>
    </w:p>
    <w:p w14:paraId="39DD28BF" w14:textId="77777777" w:rsidR="00513015" w:rsidRPr="00513015" w:rsidRDefault="00513015" w:rsidP="00513015">
      <w:pPr>
        <w:spacing w:after="0"/>
        <w:rPr>
          <w:rFonts w:ascii="Times New Roman" w:hAnsi="Times New Roman" w:cs="Times New Roman"/>
        </w:rPr>
      </w:pPr>
      <w:r w:rsidRPr="00513015">
        <w:rPr>
          <w:rFonts w:ascii="Times New Roman" w:hAnsi="Times New Roman" w:cs="Times New Roman"/>
        </w:rPr>
        <w:t>1001 I Street</w:t>
      </w:r>
    </w:p>
    <w:p w14:paraId="74710A24" w14:textId="77777777" w:rsidR="00513015" w:rsidRPr="00513015" w:rsidRDefault="00513015" w:rsidP="00513015">
      <w:pPr>
        <w:spacing w:after="0"/>
        <w:rPr>
          <w:rFonts w:ascii="Times New Roman" w:hAnsi="Times New Roman" w:cs="Times New Roman"/>
        </w:rPr>
      </w:pPr>
      <w:r w:rsidRPr="00513015">
        <w:rPr>
          <w:rFonts w:ascii="Times New Roman" w:hAnsi="Times New Roman" w:cs="Times New Roman"/>
        </w:rPr>
        <w:t>Sacramento, CA 95814</w:t>
      </w:r>
    </w:p>
    <w:p w14:paraId="2F9EF05B" w14:textId="77777777" w:rsidR="00513015" w:rsidRPr="00513015" w:rsidRDefault="00513015" w:rsidP="00513015">
      <w:pPr>
        <w:spacing w:after="0"/>
        <w:rPr>
          <w:rFonts w:ascii="Times New Roman" w:hAnsi="Times New Roman" w:cs="Times New Roman"/>
        </w:rPr>
      </w:pPr>
    </w:p>
    <w:p w14:paraId="7F778E79" w14:textId="5FF09177" w:rsidR="00513015" w:rsidRPr="00513015" w:rsidRDefault="00513015" w:rsidP="00513015">
      <w:pPr>
        <w:rPr>
          <w:rFonts w:ascii="Times New Roman" w:hAnsi="Times New Roman" w:cs="Times New Roman"/>
          <w:b/>
          <w:bCs/>
        </w:rPr>
      </w:pPr>
      <w:r w:rsidRPr="00513015">
        <w:rPr>
          <w:rFonts w:ascii="Times New Roman" w:hAnsi="Times New Roman" w:cs="Times New Roman"/>
          <w:b/>
          <w:bCs/>
        </w:rPr>
        <w:t xml:space="preserve">Re: </w:t>
      </w:r>
      <w:r w:rsidRPr="00513015">
        <w:rPr>
          <w:rFonts w:ascii="Times New Roman" w:hAnsi="Times New Roman" w:cs="Times New Roman"/>
          <w:b/>
          <w:bCs/>
          <w:shd w:val="clear" w:color="auto" w:fill="FFFFFF"/>
        </w:rPr>
        <w:t>California Corporate Greenhouse Gas Reporting and Climate-Related Financial Risk Disclosure Initial Regulation</w:t>
      </w:r>
    </w:p>
    <w:p w14:paraId="28A1B9BC" w14:textId="77777777" w:rsidR="00513015" w:rsidRPr="00513015" w:rsidRDefault="00513015" w:rsidP="00513015">
      <w:pPr>
        <w:spacing w:after="0"/>
        <w:rPr>
          <w:rFonts w:ascii="Times New Roman" w:hAnsi="Times New Roman" w:cs="Times New Roman"/>
        </w:rPr>
      </w:pPr>
    </w:p>
    <w:p w14:paraId="5F5F2BD9" w14:textId="77777777" w:rsidR="00513015" w:rsidRPr="00513015" w:rsidRDefault="00513015" w:rsidP="00513015">
      <w:pPr>
        <w:spacing w:after="0"/>
        <w:rPr>
          <w:rFonts w:ascii="Times New Roman" w:hAnsi="Times New Roman" w:cs="Times New Roman"/>
        </w:rPr>
      </w:pPr>
      <w:r w:rsidRPr="00513015">
        <w:rPr>
          <w:rFonts w:ascii="Times New Roman" w:hAnsi="Times New Roman" w:cs="Times New Roman"/>
        </w:rPr>
        <w:t>Dear Ms. Sahota,</w:t>
      </w:r>
    </w:p>
    <w:p w14:paraId="2681594C" w14:textId="77777777" w:rsidR="00513015" w:rsidRDefault="00513015"/>
    <w:p w14:paraId="6755170F" w14:textId="117C6BDC" w:rsidR="0084668F" w:rsidRDefault="00FF56B2" w:rsidP="0084668F">
      <w:pPr>
        <w:spacing w:after="0"/>
        <w:rPr>
          <w:rFonts w:ascii="Times New Roman" w:hAnsi="Times New Roman" w:cs="Times New Roman"/>
        </w:rPr>
      </w:pPr>
      <w:r>
        <w:rPr>
          <w:rFonts w:ascii="Times New Roman" w:hAnsi="Times New Roman" w:cs="Times New Roman"/>
        </w:rPr>
        <w:t>Thank you for</w:t>
      </w:r>
      <w:r w:rsidR="0084668F">
        <w:rPr>
          <w:rFonts w:ascii="Times New Roman" w:hAnsi="Times New Roman" w:cs="Times New Roman"/>
        </w:rPr>
        <w:t xml:space="preserve"> the opportunity to provide comments to the California Air Resources Board (CARB) regarding the California Corporate Greenhouse Gas Reporting and Climate-Related Financial Risk Disclosure 15-day proposed regulation. </w:t>
      </w:r>
      <w:r>
        <w:rPr>
          <w:rFonts w:ascii="Times New Roman" w:hAnsi="Times New Roman" w:cs="Times New Roman"/>
        </w:rPr>
        <w:t>The California Council for Environmental and Economic Balance (</w:t>
      </w:r>
      <w:r w:rsidR="0084668F">
        <w:rPr>
          <w:rFonts w:ascii="Times New Roman" w:hAnsi="Times New Roman" w:cs="Times New Roman"/>
        </w:rPr>
        <w:t>CCEEB</w:t>
      </w:r>
      <w:r>
        <w:rPr>
          <w:rFonts w:ascii="Times New Roman" w:hAnsi="Times New Roman" w:cs="Times New Roman"/>
        </w:rPr>
        <w:t>)</w:t>
      </w:r>
      <w:r w:rsidR="0084668F">
        <w:rPr>
          <w:rFonts w:ascii="Times New Roman" w:hAnsi="Times New Roman" w:cs="Times New Roman"/>
        </w:rPr>
        <w:t xml:space="preserve"> is a coalition of business, labor, and public leaders that works together to advance strategies to achieve a sound economy and a healthy environment. Founded in 1973, CCEEB is a non-profit and non-partisan </w:t>
      </w:r>
      <w:r w:rsidR="0084668F" w:rsidRPr="00261AC4">
        <w:rPr>
          <w:rFonts w:ascii="Times New Roman" w:hAnsi="Times New Roman" w:cs="Times New Roman"/>
        </w:rPr>
        <w:t>organization that strives to provide pragmatic pathways</w:t>
      </w:r>
      <w:r w:rsidR="0084668F">
        <w:rPr>
          <w:rFonts w:ascii="Times New Roman" w:hAnsi="Times New Roman" w:cs="Times New Roman"/>
        </w:rPr>
        <w:t xml:space="preserve"> - balancing </w:t>
      </w:r>
      <w:r w:rsidR="0084668F" w:rsidRPr="00261AC4">
        <w:rPr>
          <w:rFonts w:ascii="Times New Roman" w:hAnsi="Times New Roman" w:cs="Times New Roman"/>
        </w:rPr>
        <w:t xml:space="preserve">the need to </w:t>
      </w:r>
      <w:r w:rsidR="0084668F">
        <w:rPr>
          <w:rFonts w:ascii="Times New Roman" w:hAnsi="Times New Roman" w:cs="Times New Roman"/>
        </w:rPr>
        <w:t>reduce emissions</w:t>
      </w:r>
      <w:r w:rsidR="0084668F" w:rsidRPr="00261AC4">
        <w:rPr>
          <w:rFonts w:ascii="Times New Roman" w:hAnsi="Times New Roman" w:cs="Times New Roman"/>
        </w:rPr>
        <w:t xml:space="preserve"> while keeping businesses competitive in California.</w:t>
      </w:r>
    </w:p>
    <w:p w14:paraId="749877D4" w14:textId="77777777" w:rsidR="00FF56B2" w:rsidRDefault="00FF56B2" w:rsidP="0084668F">
      <w:pPr>
        <w:spacing w:after="0"/>
        <w:rPr>
          <w:rFonts w:ascii="Times New Roman" w:hAnsi="Times New Roman" w:cs="Times New Roman"/>
        </w:rPr>
      </w:pPr>
    </w:p>
    <w:p w14:paraId="00EB5B57" w14:textId="167E7AA0" w:rsidR="00FF56B2" w:rsidRDefault="00FF56B2" w:rsidP="0084668F">
      <w:pPr>
        <w:spacing w:after="0"/>
        <w:rPr>
          <w:rFonts w:ascii="Times New Roman" w:hAnsi="Times New Roman" w:cs="Times New Roman"/>
        </w:rPr>
      </w:pPr>
      <w:r>
        <w:rPr>
          <w:rFonts w:ascii="Times New Roman" w:hAnsi="Times New Roman" w:cs="Times New Roman"/>
        </w:rPr>
        <w:t>The</w:t>
      </w:r>
      <w:r w:rsidR="00B42CD4">
        <w:rPr>
          <w:rFonts w:ascii="Times New Roman" w:hAnsi="Times New Roman" w:cs="Times New Roman"/>
        </w:rPr>
        <w:t xml:space="preserve"> proposed </w:t>
      </w:r>
      <w:r w:rsidR="008452FD">
        <w:rPr>
          <w:rFonts w:ascii="Times New Roman" w:hAnsi="Times New Roman" w:cs="Times New Roman"/>
        </w:rPr>
        <w:t>amendments</w:t>
      </w:r>
      <w:r>
        <w:rPr>
          <w:rFonts w:ascii="Times New Roman" w:hAnsi="Times New Roman" w:cs="Times New Roman"/>
        </w:rPr>
        <w:t xml:space="preserve"> provide additional clarity</w:t>
      </w:r>
      <w:r w:rsidR="00F524F4">
        <w:rPr>
          <w:rFonts w:ascii="Times New Roman" w:hAnsi="Times New Roman" w:cs="Times New Roman"/>
        </w:rPr>
        <w:t xml:space="preserve"> (notably, making clear that Scope 1 and Scope 2 emissions reporting in 2026 need </w:t>
      </w:r>
      <w:r w:rsidR="00E62D75">
        <w:rPr>
          <w:rFonts w:ascii="Times New Roman" w:hAnsi="Times New Roman" w:cs="Times New Roman"/>
        </w:rPr>
        <w:t>only</w:t>
      </w:r>
      <w:r w:rsidR="00F524F4">
        <w:rPr>
          <w:rFonts w:ascii="Times New Roman" w:hAnsi="Times New Roman" w:cs="Times New Roman"/>
        </w:rPr>
        <w:t xml:space="preserve"> meet the requirements of Health and Safety Code section 38532(c)(2)(A)(i)(I) and 38532 (c)(2)(A)(ii))</w:t>
      </w:r>
      <w:r w:rsidR="00D36D05">
        <w:rPr>
          <w:rFonts w:ascii="Times New Roman" w:hAnsi="Times New Roman" w:cs="Times New Roman"/>
        </w:rPr>
        <w:t>. The proposed amendments also</w:t>
      </w:r>
      <w:r w:rsidR="00560D89">
        <w:rPr>
          <w:rFonts w:ascii="Times New Roman" w:hAnsi="Times New Roman" w:cs="Times New Roman"/>
        </w:rPr>
        <w:t xml:space="preserve"> </w:t>
      </w:r>
      <w:r>
        <w:rPr>
          <w:rFonts w:ascii="Times New Roman" w:hAnsi="Times New Roman" w:cs="Times New Roman"/>
        </w:rPr>
        <w:t>extend the deadline to report Scope 1 and Scope 2 emissions from August 10 until November 10</w:t>
      </w:r>
      <w:r w:rsidR="008452FD">
        <w:rPr>
          <w:rFonts w:ascii="Times New Roman" w:hAnsi="Times New Roman" w:cs="Times New Roman"/>
        </w:rPr>
        <w:t xml:space="preserve">, </w:t>
      </w:r>
      <w:r>
        <w:rPr>
          <w:rFonts w:ascii="Times New Roman" w:hAnsi="Times New Roman" w:cs="Times New Roman"/>
        </w:rPr>
        <w:t>2026</w:t>
      </w:r>
      <w:r w:rsidR="00560D89">
        <w:rPr>
          <w:rFonts w:ascii="Times New Roman" w:hAnsi="Times New Roman" w:cs="Times New Roman"/>
        </w:rPr>
        <w:t>.</w:t>
      </w:r>
      <w:r>
        <w:rPr>
          <w:rFonts w:ascii="Times New Roman" w:hAnsi="Times New Roman" w:cs="Times New Roman"/>
        </w:rPr>
        <w:t xml:space="preserve"> </w:t>
      </w:r>
      <w:r w:rsidR="00E62D75">
        <w:rPr>
          <w:rFonts w:ascii="Times New Roman" w:hAnsi="Times New Roman" w:cs="Times New Roman"/>
        </w:rPr>
        <w:t xml:space="preserve">CCEEB appreciates that the </w:t>
      </w:r>
      <w:r w:rsidR="00560D89">
        <w:rPr>
          <w:rFonts w:ascii="Times New Roman" w:hAnsi="Times New Roman" w:cs="Times New Roman"/>
        </w:rPr>
        <w:t>proposed amendments codify enforcement discretion</w:t>
      </w:r>
      <w:r w:rsidR="00D36D05">
        <w:rPr>
          <w:rFonts w:ascii="Times New Roman" w:hAnsi="Times New Roman" w:cs="Times New Roman"/>
        </w:rPr>
        <w:t xml:space="preserve"> for 2026</w:t>
      </w:r>
      <w:r w:rsidR="00560D89">
        <w:rPr>
          <w:rFonts w:ascii="Times New Roman" w:hAnsi="Times New Roman" w:cs="Times New Roman"/>
        </w:rPr>
        <w:t>. Rather than relying on guidance, the proposed amendments now state that in lieu of the Scope 1 and Scope 2 greenhouse gas emissions data for the prior fiscal year that is required to be submitted, an entity</w:t>
      </w:r>
      <w:r w:rsidR="00F524F4">
        <w:rPr>
          <w:rFonts w:ascii="Times New Roman" w:hAnsi="Times New Roman" w:cs="Times New Roman"/>
        </w:rPr>
        <w:t xml:space="preserve"> may </w:t>
      </w:r>
      <w:r w:rsidR="00560D89">
        <w:rPr>
          <w:rFonts w:ascii="Times New Roman" w:hAnsi="Times New Roman" w:cs="Times New Roman"/>
        </w:rPr>
        <w:t xml:space="preserve">submit Scope 1 and Scope 2 emissions from the reporting entity’s prior fiscal year from information the entity already possess before December 5, 2024 or a statement from the entity’s company letterhead indicating that the entity is not submitting a report because </w:t>
      </w:r>
      <w:r w:rsidR="00560D89">
        <w:rPr>
          <w:rFonts w:ascii="Times New Roman" w:hAnsi="Times New Roman" w:cs="Times New Roman"/>
        </w:rPr>
        <w:lastRenderedPageBreak/>
        <w:t>the entity did not possess Scope 1 or Scope 2 emissions information and was not collecting information before December 5, 2024. CCEEB supports these changes.</w:t>
      </w:r>
    </w:p>
    <w:p w14:paraId="6BE8191A" w14:textId="77777777" w:rsidR="00560D89" w:rsidRDefault="00560D89" w:rsidP="0084668F">
      <w:pPr>
        <w:spacing w:after="0"/>
        <w:rPr>
          <w:rFonts w:ascii="Times New Roman" w:hAnsi="Times New Roman" w:cs="Times New Roman"/>
        </w:rPr>
      </w:pPr>
    </w:p>
    <w:p w14:paraId="4FF7A300" w14:textId="71530622" w:rsidR="00B42CD4" w:rsidRDefault="00B42CD4" w:rsidP="0084668F">
      <w:pPr>
        <w:spacing w:after="0"/>
        <w:rPr>
          <w:rFonts w:ascii="Times New Roman" w:hAnsi="Times New Roman" w:cs="Times New Roman"/>
        </w:rPr>
      </w:pPr>
      <w:r>
        <w:rPr>
          <w:rFonts w:ascii="Times New Roman" w:hAnsi="Times New Roman" w:cs="Times New Roman"/>
        </w:rPr>
        <w:t>Despite these positive changes, CCEEB members have continued to express concerns with other portion</w:t>
      </w:r>
      <w:r w:rsidR="00560D89">
        <w:rPr>
          <w:rFonts w:ascii="Times New Roman" w:hAnsi="Times New Roman" w:cs="Times New Roman"/>
        </w:rPr>
        <w:t>s</w:t>
      </w:r>
      <w:r>
        <w:rPr>
          <w:rFonts w:ascii="Times New Roman" w:hAnsi="Times New Roman" w:cs="Times New Roman"/>
        </w:rPr>
        <w:t xml:space="preserve"> of the initial regulation which have yet to be addressed.</w:t>
      </w:r>
    </w:p>
    <w:p w14:paraId="17B7E890" w14:textId="77777777" w:rsidR="00B42CD4" w:rsidRDefault="00B42CD4" w:rsidP="0084668F">
      <w:pPr>
        <w:spacing w:after="0"/>
        <w:rPr>
          <w:rFonts w:ascii="Times New Roman" w:hAnsi="Times New Roman" w:cs="Times New Roman"/>
        </w:rPr>
      </w:pPr>
    </w:p>
    <w:p w14:paraId="3CADB227" w14:textId="731D42EC" w:rsidR="0084668F" w:rsidRDefault="00B42CD4" w:rsidP="0084668F">
      <w:pPr>
        <w:spacing w:after="0"/>
        <w:rPr>
          <w:rFonts w:ascii="Times New Roman" w:hAnsi="Times New Roman" w:cs="Times New Roman"/>
        </w:rPr>
      </w:pPr>
      <w:r w:rsidRPr="00D304C0">
        <w:rPr>
          <w:rFonts w:ascii="Times New Roman" w:hAnsi="Times New Roman" w:cs="Times New Roman"/>
          <w:b/>
          <w:bCs/>
        </w:rPr>
        <w:t>Calculation of Fees-§ 960</w:t>
      </w:r>
      <w:r w:rsidR="00D00A8D">
        <w:rPr>
          <w:rFonts w:ascii="Times New Roman" w:hAnsi="Times New Roman" w:cs="Times New Roman"/>
          <w:b/>
          <w:bCs/>
        </w:rPr>
        <w:t>7</w:t>
      </w:r>
      <w:r w:rsidRPr="00D304C0">
        <w:rPr>
          <w:rFonts w:ascii="Times New Roman" w:hAnsi="Times New Roman" w:cs="Times New Roman"/>
          <w:b/>
          <w:bCs/>
        </w:rPr>
        <w:t>3.</w:t>
      </w:r>
      <w:r>
        <w:rPr>
          <w:rFonts w:ascii="Times New Roman" w:hAnsi="Times New Roman" w:cs="Times New Roman"/>
          <w:b/>
          <w:bCs/>
        </w:rPr>
        <w:t xml:space="preserve"> </w:t>
      </w:r>
      <w:r>
        <w:rPr>
          <w:rFonts w:ascii="Times New Roman" w:hAnsi="Times New Roman" w:cs="Times New Roman"/>
        </w:rPr>
        <w:t xml:space="preserve">CARB’s August 2025 Workshop provided an estimate of the </w:t>
      </w:r>
      <w:r w:rsidR="00F524F4">
        <w:rPr>
          <w:rFonts w:ascii="Times New Roman" w:hAnsi="Times New Roman" w:cs="Times New Roman"/>
        </w:rPr>
        <w:t xml:space="preserve">program </w:t>
      </w:r>
      <w:r>
        <w:rPr>
          <w:rFonts w:ascii="Times New Roman" w:hAnsi="Times New Roman" w:cs="Times New Roman"/>
        </w:rPr>
        <w:t>fees as well as an estimate of the number of covered and reporting entities under SB 253 and SB 261. CARB estimated the number of reporting entities under SB 253 at approximately 2,600, with fees estimated at $3,100 per entity. For SB 261, CARB estimate</w:t>
      </w:r>
      <w:r w:rsidR="0052461B">
        <w:rPr>
          <w:rFonts w:ascii="Times New Roman" w:hAnsi="Times New Roman" w:cs="Times New Roman"/>
        </w:rPr>
        <w:t>d</w:t>
      </w:r>
      <w:r>
        <w:rPr>
          <w:rFonts w:ascii="Times New Roman" w:hAnsi="Times New Roman" w:cs="Times New Roman"/>
        </w:rPr>
        <w:t xml:space="preserve"> that the number of covered reporters at 4,150 with a fee of $1,400. However, CARB’s November 2025 Workshop indicate</w:t>
      </w:r>
      <w:r w:rsidR="0052461B">
        <w:rPr>
          <w:rFonts w:ascii="Times New Roman" w:hAnsi="Times New Roman" w:cs="Times New Roman"/>
        </w:rPr>
        <w:t>d</w:t>
      </w:r>
      <w:r>
        <w:rPr>
          <w:rFonts w:ascii="Times New Roman" w:hAnsi="Times New Roman" w:cs="Times New Roman"/>
        </w:rPr>
        <w:t xml:space="preserve"> that there are major holes in the data, imprecise revenue estimates, and outdated information. </w:t>
      </w:r>
      <w:r w:rsidR="00227A96">
        <w:rPr>
          <w:rFonts w:ascii="Times New Roman" w:hAnsi="Times New Roman" w:cs="Times New Roman"/>
        </w:rPr>
        <w:t>These issues create very significant concerns about the accuracy and reasonableness of the fee estimates.</w:t>
      </w:r>
    </w:p>
    <w:p w14:paraId="71E6B5BD" w14:textId="77777777" w:rsidR="0052461B" w:rsidRDefault="0052461B" w:rsidP="0084668F">
      <w:pPr>
        <w:spacing w:after="0"/>
        <w:rPr>
          <w:rFonts w:ascii="Times New Roman" w:hAnsi="Times New Roman" w:cs="Times New Roman"/>
        </w:rPr>
      </w:pPr>
    </w:p>
    <w:p w14:paraId="68D9CEC1" w14:textId="7A618A08" w:rsidR="0052461B" w:rsidRDefault="00F524F4" w:rsidP="0084668F">
      <w:pPr>
        <w:spacing w:after="0"/>
        <w:rPr>
          <w:rFonts w:ascii="Times New Roman" w:hAnsi="Times New Roman" w:cs="Times New Roman"/>
        </w:rPr>
      </w:pPr>
      <w:r>
        <w:rPr>
          <w:rFonts w:ascii="Times New Roman" w:hAnsi="Times New Roman" w:cs="Times New Roman"/>
        </w:rPr>
        <w:t xml:space="preserve">It does not appear that </w:t>
      </w:r>
      <w:r w:rsidR="0052461B">
        <w:rPr>
          <w:rFonts w:ascii="Times New Roman" w:hAnsi="Times New Roman" w:cs="Times New Roman"/>
        </w:rPr>
        <w:t xml:space="preserve">CARB </w:t>
      </w:r>
      <w:r>
        <w:rPr>
          <w:rFonts w:ascii="Times New Roman" w:hAnsi="Times New Roman" w:cs="Times New Roman"/>
        </w:rPr>
        <w:t>knows</w:t>
      </w:r>
      <w:r w:rsidR="0052461B">
        <w:rPr>
          <w:rFonts w:ascii="Times New Roman" w:hAnsi="Times New Roman" w:cs="Times New Roman"/>
        </w:rPr>
        <w:t xml:space="preserve"> the exact universe of reporting entities. In addition, only the initial regulations have been proposed</w:t>
      </w:r>
      <w:r>
        <w:rPr>
          <w:rFonts w:ascii="Times New Roman" w:hAnsi="Times New Roman" w:cs="Times New Roman"/>
        </w:rPr>
        <w:t>, and these regulations have undergone revision in the 15-day proposed regulation</w:t>
      </w:r>
      <w:r w:rsidR="0052461B">
        <w:rPr>
          <w:rFonts w:ascii="Times New Roman" w:hAnsi="Times New Roman" w:cs="Times New Roman"/>
        </w:rPr>
        <w:t xml:space="preserve">. Without knowing </w:t>
      </w:r>
      <w:r>
        <w:rPr>
          <w:rFonts w:ascii="Times New Roman" w:hAnsi="Times New Roman" w:cs="Times New Roman"/>
        </w:rPr>
        <w:t>the exact number of reporting entities,</w:t>
      </w:r>
      <w:r w:rsidR="0052461B">
        <w:rPr>
          <w:rFonts w:ascii="Times New Roman" w:hAnsi="Times New Roman" w:cs="Times New Roman"/>
        </w:rPr>
        <w:t xml:space="preserve"> the </w:t>
      </w:r>
      <w:r w:rsidR="008452FD">
        <w:rPr>
          <w:rFonts w:ascii="Times New Roman" w:hAnsi="Times New Roman" w:cs="Times New Roman"/>
        </w:rPr>
        <w:t>breadth of the regula</w:t>
      </w:r>
      <w:r>
        <w:rPr>
          <w:rFonts w:ascii="Times New Roman" w:hAnsi="Times New Roman" w:cs="Times New Roman"/>
        </w:rPr>
        <w:t xml:space="preserve">tory </w:t>
      </w:r>
      <w:r w:rsidR="0052461B">
        <w:rPr>
          <w:rFonts w:ascii="Times New Roman" w:hAnsi="Times New Roman" w:cs="Times New Roman"/>
        </w:rPr>
        <w:t>requirements</w:t>
      </w:r>
      <w:r>
        <w:rPr>
          <w:rFonts w:ascii="Times New Roman" w:hAnsi="Times New Roman" w:cs="Times New Roman"/>
        </w:rPr>
        <w:t xml:space="preserve">, </w:t>
      </w:r>
      <w:r w:rsidR="0052461B">
        <w:rPr>
          <w:rFonts w:ascii="Times New Roman" w:hAnsi="Times New Roman" w:cs="Times New Roman"/>
        </w:rPr>
        <w:t xml:space="preserve">and </w:t>
      </w:r>
      <w:r>
        <w:rPr>
          <w:rFonts w:ascii="Times New Roman" w:hAnsi="Times New Roman" w:cs="Times New Roman"/>
        </w:rPr>
        <w:t xml:space="preserve">associated </w:t>
      </w:r>
      <w:r w:rsidR="0052461B">
        <w:rPr>
          <w:rFonts w:ascii="Times New Roman" w:hAnsi="Times New Roman" w:cs="Times New Roman"/>
        </w:rPr>
        <w:t>workload</w:t>
      </w:r>
      <w:r>
        <w:rPr>
          <w:rFonts w:ascii="Times New Roman" w:hAnsi="Times New Roman" w:cs="Times New Roman"/>
        </w:rPr>
        <w:t xml:space="preserve"> for CARB staff</w:t>
      </w:r>
      <w:r w:rsidR="0052461B">
        <w:rPr>
          <w:rFonts w:ascii="Times New Roman" w:hAnsi="Times New Roman" w:cs="Times New Roman"/>
        </w:rPr>
        <w:t xml:space="preserve">, </w:t>
      </w:r>
      <w:r>
        <w:rPr>
          <w:rFonts w:ascii="Times New Roman" w:hAnsi="Times New Roman" w:cs="Times New Roman"/>
        </w:rPr>
        <w:t>CARB cannot accurately estimate fees per reporting entity for 2026 reporting. As a result, reporting entities cannot accurately budget for program fees in 2026.</w:t>
      </w:r>
      <w:r w:rsidR="0052461B">
        <w:rPr>
          <w:rFonts w:ascii="Times New Roman" w:hAnsi="Times New Roman" w:cs="Times New Roman"/>
        </w:rPr>
        <w:t xml:space="preserve"> </w:t>
      </w:r>
    </w:p>
    <w:p w14:paraId="54AD99DA" w14:textId="77777777" w:rsidR="0052461B" w:rsidRDefault="0052461B" w:rsidP="0084668F">
      <w:pPr>
        <w:spacing w:after="0"/>
        <w:rPr>
          <w:rFonts w:ascii="Times New Roman" w:hAnsi="Times New Roman" w:cs="Times New Roman"/>
        </w:rPr>
      </w:pPr>
    </w:p>
    <w:p w14:paraId="0E1E71F6" w14:textId="3B2628DA" w:rsidR="00D26B94" w:rsidRDefault="00D26B94" w:rsidP="0084668F">
      <w:pPr>
        <w:spacing w:after="0"/>
        <w:rPr>
          <w:rFonts w:ascii="Times New Roman" w:hAnsi="Times New Roman" w:cs="Times New Roman"/>
        </w:rPr>
      </w:pPr>
      <w:r>
        <w:rPr>
          <w:rFonts w:ascii="Times New Roman" w:hAnsi="Times New Roman" w:cs="Times New Roman"/>
        </w:rPr>
        <w:t>Since</w:t>
      </w:r>
      <w:r w:rsidR="0052461B">
        <w:rPr>
          <w:rFonts w:ascii="Times New Roman" w:hAnsi="Times New Roman" w:cs="Times New Roman"/>
        </w:rPr>
        <w:t xml:space="preserve"> CARB is allowing the data from multiple subsidiaries to be consolidated into a single report, </w:t>
      </w:r>
      <w:r>
        <w:rPr>
          <w:rFonts w:ascii="Times New Roman" w:hAnsi="Times New Roman" w:cs="Times New Roman"/>
        </w:rPr>
        <w:t xml:space="preserve">CCEEB believes </w:t>
      </w:r>
      <w:r w:rsidR="0052461B">
        <w:rPr>
          <w:rFonts w:ascii="Times New Roman" w:hAnsi="Times New Roman" w:cs="Times New Roman"/>
        </w:rPr>
        <w:t xml:space="preserve">that the fees also be consolidated. In the event that CARB moves forward charging a fee for each subsidiary, despite a consolidated report, CARB should justify the </w:t>
      </w:r>
      <w:r w:rsidR="006C7AAB">
        <w:rPr>
          <w:rFonts w:ascii="Times New Roman" w:hAnsi="Times New Roman" w:cs="Times New Roman"/>
        </w:rPr>
        <w:t xml:space="preserve">separate and additional </w:t>
      </w:r>
      <w:r w:rsidR="0052461B">
        <w:rPr>
          <w:rFonts w:ascii="Times New Roman" w:hAnsi="Times New Roman" w:cs="Times New Roman"/>
        </w:rPr>
        <w:t>fee</w:t>
      </w:r>
      <w:r w:rsidR="00591682">
        <w:rPr>
          <w:rFonts w:ascii="Times New Roman" w:hAnsi="Times New Roman" w:cs="Times New Roman"/>
        </w:rPr>
        <w:t>s</w:t>
      </w:r>
      <w:r w:rsidR="0052461B">
        <w:rPr>
          <w:rFonts w:ascii="Times New Roman" w:hAnsi="Times New Roman" w:cs="Times New Roman"/>
        </w:rPr>
        <w:t xml:space="preserve"> and explain </w:t>
      </w:r>
      <w:r w:rsidR="0038614F">
        <w:rPr>
          <w:rFonts w:ascii="Times New Roman" w:hAnsi="Times New Roman" w:cs="Times New Roman"/>
        </w:rPr>
        <w:t xml:space="preserve">where the costs </w:t>
      </w:r>
      <w:r w:rsidR="00591682">
        <w:rPr>
          <w:rFonts w:ascii="Times New Roman" w:hAnsi="Times New Roman" w:cs="Times New Roman"/>
        </w:rPr>
        <w:t>have arisen</w:t>
      </w:r>
      <w:r w:rsidR="0038614F">
        <w:rPr>
          <w:rFonts w:ascii="Times New Roman" w:hAnsi="Times New Roman" w:cs="Times New Roman"/>
        </w:rPr>
        <w:t>.</w:t>
      </w:r>
    </w:p>
    <w:p w14:paraId="7B6822FE" w14:textId="77777777" w:rsidR="00D26B94" w:rsidRDefault="00D26B94" w:rsidP="0084668F">
      <w:pPr>
        <w:spacing w:after="0"/>
        <w:rPr>
          <w:rFonts w:ascii="Times New Roman" w:hAnsi="Times New Roman" w:cs="Times New Roman"/>
        </w:rPr>
      </w:pPr>
    </w:p>
    <w:p w14:paraId="55036C57" w14:textId="77777777" w:rsidR="00D26B94" w:rsidRPr="00721D35" w:rsidRDefault="00D26B94" w:rsidP="00D26B94">
      <w:pPr>
        <w:spacing w:after="0"/>
        <w:rPr>
          <w:rFonts w:ascii="Times New Roman" w:hAnsi="Times New Roman" w:cs="Times New Roman"/>
        </w:rPr>
      </w:pPr>
      <w:r>
        <w:rPr>
          <w:rFonts w:ascii="Times New Roman" w:hAnsi="Times New Roman" w:cs="Times New Roman"/>
        </w:rPr>
        <w:t>In order to comply with Proposition 26, CARB must demonstrate by a preponderance of the evidence that the charge is no more than necessary to cover the reasonable costs of the government activity and bears a reasonable relationship to the payer’s burden or benefits received from the governmental activity. Without this assurance, this fee becomes a tax.</w:t>
      </w:r>
    </w:p>
    <w:p w14:paraId="7F6033F9" w14:textId="77777777" w:rsidR="00D26B94" w:rsidRDefault="00D26B94" w:rsidP="00D26B94">
      <w:pPr>
        <w:spacing w:after="0"/>
        <w:rPr>
          <w:rFonts w:ascii="Times New Roman" w:hAnsi="Times New Roman" w:cs="Times New Roman"/>
        </w:rPr>
      </w:pPr>
    </w:p>
    <w:p w14:paraId="33B22A09" w14:textId="0AF95F9A" w:rsidR="00D26B94" w:rsidRDefault="00591682" w:rsidP="0084668F">
      <w:pPr>
        <w:spacing w:after="0"/>
        <w:rPr>
          <w:rFonts w:ascii="Times New Roman" w:hAnsi="Times New Roman" w:cs="Times New Roman"/>
        </w:rPr>
      </w:pPr>
      <w:r>
        <w:rPr>
          <w:rFonts w:ascii="Times New Roman" w:hAnsi="Times New Roman" w:cs="Times New Roman"/>
        </w:rPr>
        <w:t>CCEEB reiterates it</w:t>
      </w:r>
      <w:r w:rsidR="008452FD">
        <w:rPr>
          <w:rFonts w:ascii="Times New Roman" w:hAnsi="Times New Roman" w:cs="Times New Roman"/>
        </w:rPr>
        <w:t>s</w:t>
      </w:r>
      <w:r>
        <w:rPr>
          <w:rFonts w:ascii="Times New Roman" w:hAnsi="Times New Roman" w:cs="Times New Roman"/>
        </w:rPr>
        <w:t xml:space="preserve"> suggestion that </w:t>
      </w:r>
      <w:r w:rsidR="00D26B94" w:rsidRPr="00721D35">
        <w:rPr>
          <w:rFonts w:ascii="Times New Roman" w:hAnsi="Times New Roman" w:cs="Times New Roman"/>
        </w:rPr>
        <w:t xml:space="preserve">CARB should </w:t>
      </w:r>
      <w:r w:rsidR="008452FD">
        <w:rPr>
          <w:rFonts w:ascii="Times New Roman" w:hAnsi="Times New Roman" w:cs="Times New Roman"/>
        </w:rPr>
        <w:t xml:space="preserve">solely </w:t>
      </w:r>
      <w:r w:rsidR="00D26B94" w:rsidRPr="00721D35">
        <w:rPr>
          <w:rFonts w:ascii="Times New Roman" w:hAnsi="Times New Roman" w:cs="Times New Roman"/>
        </w:rPr>
        <w:t>collect data in 2026 on the universe of covered and reporting entities</w:t>
      </w:r>
      <w:r w:rsidR="008452FD">
        <w:rPr>
          <w:rFonts w:ascii="Times New Roman" w:hAnsi="Times New Roman" w:cs="Times New Roman"/>
        </w:rPr>
        <w:t xml:space="preserve">, finalize the universe of regulatory costs, and delay fee collection until </w:t>
      </w:r>
      <w:r>
        <w:rPr>
          <w:rFonts w:ascii="Times New Roman" w:hAnsi="Times New Roman" w:cs="Times New Roman"/>
        </w:rPr>
        <w:t>2027</w:t>
      </w:r>
      <w:r w:rsidR="00D26B94" w:rsidRPr="00721D35">
        <w:rPr>
          <w:rFonts w:ascii="Times New Roman" w:hAnsi="Times New Roman" w:cs="Times New Roman"/>
        </w:rPr>
        <w:t xml:space="preserve">. This approach will better ensure that CARB maintains a clear nexus between the costs of administering the program and regulated entities. </w:t>
      </w:r>
    </w:p>
    <w:p w14:paraId="00C8FBD5" w14:textId="77777777" w:rsidR="0038614F" w:rsidRDefault="0038614F" w:rsidP="0084668F">
      <w:pPr>
        <w:spacing w:after="0"/>
        <w:rPr>
          <w:rFonts w:ascii="Times New Roman" w:hAnsi="Times New Roman" w:cs="Times New Roman"/>
        </w:rPr>
      </w:pPr>
    </w:p>
    <w:p w14:paraId="66818539" w14:textId="1D722051" w:rsidR="0084668F" w:rsidRDefault="0038614F" w:rsidP="0084668F">
      <w:pPr>
        <w:spacing w:after="0"/>
        <w:rPr>
          <w:rFonts w:ascii="Times New Roman" w:hAnsi="Times New Roman" w:cs="Times New Roman"/>
        </w:rPr>
      </w:pPr>
      <w:r w:rsidRPr="0038614F">
        <w:rPr>
          <w:rFonts w:ascii="Times New Roman" w:hAnsi="Times New Roman" w:cs="Times New Roman"/>
          <w:b/>
          <w:bCs/>
        </w:rPr>
        <w:t>Applicability-§ 96071.</w:t>
      </w:r>
      <w:r>
        <w:rPr>
          <w:rFonts w:ascii="Times New Roman" w:hAnsi="Times New Roman" w:cs="Times New Roman"/>
          <w:b/>
          <w:bCs/>
        </w:rPr>
        <w:t xml:space="preserve"> </w:t>
      </w:r>
      <w:r>
        <w:rPr>
          <w:rFonts w:ascii="Times New Roman" w:hAnsi="Times New Roman" w:cs="Times New Roman"/>
        </w:rPr>
        <w:t xml:space="preserve">CCEEB believes that CARB should establish a process to dispute CARB’s determination that an entity is a “reporting entity” or “covered entity” subject to the </w:t>
      </w:r>
      <w:r>
        <w:rPr>
          <w:rFonts w:ascii="Times New Roman" w:hAnsi="Times New Roman" w:cs="Times New Roman"/>
        </w:rPr>
        <w:lastRenderedPageBreak/>
        <w:t>requirements and fees of SB 253 and SB 261 prior to the imposition of fees, reporting obligations, or penalties.</w:t>
      </w:r>
    </w:p>
    <w:p w14:paraId="31A31DBB" w14:textId="77777777" w:rsidR="00D00A8D" w:rsidRDefault="00D00A8D" w:rsidP="0084668F">
      <w:pPr>
        <w:spacing w:after="0"/>
        <w:rPr>
          <w:rFonts w:ascii="Times New Roman" w:hAnsi="Times New Roman" w:cs="Times New Roman"/>
        </w:rPr>
      </w:pPr>
    </w:p>
    <w:p w14:paraId="12254AC7" w14:textId="20E4FD29" w:rsidR="00D00A8D" w:rsidRDefault="00D00A8D" w:rsidP="0084668F">
      <w:pPr>
        <w:spacing w:after="0"/>
        <w:rPr>
          <w:rFonts w:ascii="Times New Roman" w:hAnsi="Times New Roman" w:cs="Times New Roman"/>
        </w:rPr>
      </w:pPr>
      <w:r w:rsidRPr="005A5EC6">
        <w:rPr>
          <w:rFonts w:ascii="Times New Roman" w:hAnsi="Times New Roman" w:cs="Times New Roman"/>
          <w:b/>
          <w:bCs/>
        </w:rPr>
        <w:t>Payment and Collection</w:t>
      </w:r>
      <w:r w:rsidR="005A5EC6" w:rsidRPr="005A5EC6">
        <w:rPr>
          <w:rFonts w:ascii="Times New Roman" w:hAnsi="Times New Roman" w:cs="Times New Roman"/>
          <w:b/>
          <w:bCs/>
        </w:rPr>
        <w:t>-§ 96074.</w:t>
      </w:r>
      <w:r w:rsidR="005A5EC6">
        <w:rPr>
          <w:rFonts w:ascii="Times New Roman" w:hAnsi="Times New Roman" w:cs="Times New Roman"/>
          <w:b/>
          <w:bCs/>
        </w:rPr>
        <w:t xml:space="preserve"> </w:t>
      </w:r>
      <w:r w:rsidR="005A5EC6">
        <w:rPr>
          <w:rFonts w:ascii="Times New Roman" w:hAnsi="Times New Roman" w:cs="Times New Roman"/>
        </w:rPr>
        <w:t>The initial regulation proposes to require entities to pay the fee within 60 days. Given the magnitude of the fees and the time-consuming exercise for applicability determinations, CCEEB recommends extending the period to pay the fees to 90 days. This is consistent with the amount of time CARB has to make the reporting disclosures available on a digital platform.</w:t>
      </w:r>
    </w:p>
    <w:p w14:paraId="6787F247" w14:textId="77777777" w:rsidR="005A5EC6" w:rsidRDefault="005A5EC6" w:rsidP="0084668F">
      <w:pPr>
        <w:spacing w:after="0"/>
        <w:rPr>
          <w:rFonts w:ascii="Times New Roman" w:hAnsi="Times New Roman" w:cs="Times New Roman"/>
        </w:rPr>
      </w:pPr>
    </w:p>
    <w:p w14:paraId="28CA13AD" w14:textId="5684DC7B" w:rsidR="005A5EC6" w:rsidRDefault="005A5EC6" w:rsidP="0084668F">
      <w:pPr>
        <w:spacing w:after="0"/>
        <w:rPr>
          <w:rFonts w:ascii="Times New Roman" w:hAnsi="Times New Roman" w:cs="Times New Roman"/>
        </w:rPr>
      </w:pPr>
      <w:r w:rsidRPr="005A5EC6">
        <w:rPr>
          <w:rFonts w:ascii="Times New Roman" w:hAnsi="Times New Roman" w:cs="Times New Roman"/>
          <w:b/>
          <w:bCs/>
        </w:rPr>
        <w:t xml:space="preserve">Fee Enforcement-§ 96075. </w:t>
      </w:r>
      <w:r w:rsidRPr="005A5EC6">
        <w:rPr>
          <w:rFonts w:ascii="Times New Roman" w:hAnsi="Times New Roman" w:cs="Times New Roman"/>
        </w:rPr>
        <w:t>CCEEB disagrees that the failure to pay the full amount of and required fee should constitute a single separate violation for each day that the fee has not been paid, given that the harm does not accrue with each passing day. Instead, CCEEB recommends a cap on penalties arising due to the nonpayment of programs fees</w:t>
      </w:r>
      <w:r w:rsidR="00F524F4">
        <w:rPr>
          <w:rFonts w:ascii="Times New Roman" w:hAnsi="Times New Roman" w:cs="Times New Roman"/>
        </w:rPr>
        <w:t>. The regulatory text should also explicitly incorporate the administrative penalty caps set forth in Health and Safety Code sections</w:t>
      </w:r>
      <w:r w:rsidRPr="005A5EC6">
        <w:rPr>
          <w:rFonts w:ascii="Times New Roman" w:hAnsi="Times New Roman" w:cs="Times New Roman"/>
        </w:rPr>
        <w:t xml:space="preserve"> 38532 and 38533.</w:t>
      </w:r>
    </w:p>
    <w:p w14:paraId="60EEC453" w14:textId="77777777" w:rsidR="005A5EC6" w:rsidRDefault="005A5EC6" w:rsidP="0084668F">
      <w:pPr>
        <w:spacing w:after="0"/>
        <w:rPr>
          <w:rFonts w:ascii="Times New Roman" w:hAnsi="Times New Roman" w:cs="Times New Roman"/>
        </w:rPr>
      </w:pPr>
    </w:p>
    <w:p w14:paraId="5BD33EC1" w14:textId="6527C3A8" w:rsidR="005A5EC6" w:rsidRDefault="005A5EC6" w:rsidP="0084668F">
      <w:pPr>
        <w:spacing w:after="0"/>
        <w:rPr>
          <w:rFonts w:ascii="Times New Roman" w:hAnsi="Times New Roman" w:cs="Times New Roman"/>
        </w:rPr>
      </w:pPr>
      <w:r w:rsidRPr="005A5EC6">
        <w:rPr>
          <w:rFonts w:ascii="Times New Roman" w:hAnsi="Times New Roman" w:cs="Times New Roman"/>
          <w:b/>
          <w:bCs/>
        </w:rPr>
        <w:t>Reporting Under Health and Safety Code § 38532-§ 96076.</w:t>
      </w:r>
      <w:r>
        <w:rPr>
          <w:rFonts w:ascii="Times New Roman" w:hAnsi="Times New Roman" w:cs="Times New Roman"/>
          <w:b/>
          <w:bCs/>
        </w:rPr>
        <w:t xml:space="preserve"> </w:t>
      </w:r>
      <w:r>
        <w:rPr>
          <w:rFonts w:ascii="Times New Roman" w:hAnsi="Times New Roman" w:cs="Times New Roman"/>
        </w:rPr>
        <w:t>While CCEEB appreciates the extension from August 10, 2026</w:t>
      </w:r>
      <w:r w:rsidR="00F524F4">
        <w:rPr>
          <w:rFonts w:ascii="Times New Roman" w:hAnsi="Times New Roman" w:cs="Times New Roman"/>
        </w:rPr>
        <w:t>,</w:t>
      </w:r>
      <w:r>
        <w:rPr>
          <w:rFonts w:ascii="Times New Roman" w:hAnsi="Times New Roman" w:cs="Times New Roman"/>
        </w:rPr>
        <w:t xml:space="preserve"> to November 10, 2026</w:t>
      </w:r>
      <w:r w:rsidR="00F524F4">
        <w:rPr>
          <w:rFonts w:ascii="Times New Roman" w:hAnsi="Times New Roman" w:cs="Times New Roman"/>
        </w:rPr>
        <w:t>,</w:t>
      </w:r>
      <w:r>
        <w:rPr>
          <w:rFonts w:ascii="Times New Roman" w:hAnsi="Times New Roman" w:cs="Times New Roman"/>
        </w:rPr>
        <w:t xml:space="preserve"> for reporting Scope 1 and Scope 2 emissions, CCEEB continues to </w:t>
      </w:r>
      <w:r w:rsidR="00223DC2">
        <w:rPr>
          <w:rFonts w:ascii="Times New Roman" w:hAnsi="Times New Roman" w:cs="Times New Roman"/>
        </w:rPr>
        <w:t>believe that extending reporting until December 31, 2026, would comply with the statutory requirements in SB 253, provide additional time to gather and verify data, and ultimately produce more accurate data.</w:t>
      </w:r>
      <w:r w:rsidR="00F524F4">
        <w:rPr>
          <w:rFonts w:ascii="Times New Roman" w:hAnsi="Times New Roman" w:cs="Times New Roman"/>
        </w:rPr>
        <w:t xml:space="preserve"> CCEEB also requests that CARB provide clean instructions on the format in which reporting entities must submit their 2026 Scope 1 and Scope 2 emissions information.</w:t>
      </w:r>
    </w:p>
    <w:p w14:paraId="65615405" w14:textId="77777777" w:rsidR="00F524F4" w:rsidRDefault="00F524F4" w:rsidP="0084668F">
      <w:pPr>
        <w:spacing w:after="0"/>
        <w:rPr>
          <w:rFonts w:ascii="Times New Roman" w:hAnsi="Times New Roman" w:cs="Times New Roman"/>
        </w:rPr>
      </w:pPr>
    </w:p>
    <w:p w14:paraId="187A16D2" w14:textId="2B91E29B" w:rsidR="00F524F4" w:rsidRPr="005A5EC6" w:rsidRDefault="00F524F4" w:rsidP="0084668F">
      <w:pPr>
        <w:spacing w:after="0"/>
        <w:rPr>
          <w:rFonts w:ascii="Times New Roman" w:hAnsi="Times New Roman" w:cs="Times New Roman"/>
        </w:rPr>
      </w:pPr>
      <w:r>
        <w:rPr>
          <w:rFonts w:ascii="Times New Roman" w:hAnsi="Times New Roman" w:cs="Times New Roman"/>
        </w:rPr>
        <w:t xml:space="preserve">CCEEB encourages CARB to continue with this proposed approach of directly tying the initial reporting requirements to the applicable provisions of the California Health and Safety Code, rather than developing a separate CARB-specific emissions accounting standard. </w:t>
      </w:r>
      <w:r w:rsidR="00B455E3">
        <w:rPr>
          <w:rFonts w:ascii="Times New Roman" w:hAnsi="Times New Roman" w:cs="Times New Roman"/>
        </w:rPr>
        <w:t>Requiring the use</w:t>
      </w:r>
      <w:r>
        <w:rPr>
          <w:rFonts w:ascii="Times New Roman" w:hAnsi="Times New Roman" w:cs="Times New Roman"/>
        </w:rPr>
        <w:t xml:space="preserve"> </w:t>
      </w:r>
      <w:r w:rsidR="00B455E3">
        <w:rPr>
          <w:rFonts w:ascii="Times New Roman" w:hAnsi="Times New Roman" w:cs="Times New Roman"/>
        </w:rPr>
        <w:t xml:space="preserve">of </w:t>
      </w:r>
      <w:r>
        <w:rPr>
          <w:rFonts w:ascii="Times New Roman" w:hAnsi="Times New Roman" w:cs="Times New Roman"/>
        </w:rPr>
        <w:t xml:space="preserve">the Greenhouse Gas Protocol (GHGP) will promote consistency with </w:t>
      </w:r>
      <w:r w:rsidR="00B455E3">
        <w:rPr>
          <w:rFonts w:ascii="Times New Roman" w:hAnsi="Times New Roman" w:cs="Times New Roman"/>
        </w:rPr>
        <w:t>global standards, reduce duplicative reporting and administrative burdens, and provide reporting entities with greater certainty regarding the methodologies and data they must use. Developing an independent CARB standard could create long-term misalignment with the GHGP and other widely used reporting frameworks, potentially requiring entities to maintain multiple accounting</w:t>
      </w:r>
    </w:p>
    <w:p w14:paraId="657BD356" w14:textId="58C10287" w:rsidR="0038614F" w:rsidRDefault="00B455E3" w:rsidP="0084668F">
      <w:pPr>
        <w:spacing w:after="0"/>
        <w:rPr>
          <w:rFonts w:ascii="Times New Roman" w:hAnsi="Times New Roman" w:cs="Times New Roman"/>
        </w:rPr>
      </w:pPr>
      <w:r>
        <w:rPr>
          <w:rFonts w:ascii="Times New Roman" w:hAnsi="Times New Roman" w:cs="Times New Roman"/>
        </w:rPr>
        <w:t xml:space="preserve">systems, reconcile inconsistent methodologies, and restate or revalidate previously reported information. </w:t>
      </w:r>
    </w:p>
    <w:p w14:paraId="17B48EEF" w14:textId="77777777" w:rsidR="00B455E3" w:rsidRDefault="00B455E3" w:rsidP="0084668F">
      <w:pPr>
        <w:spacing w:after="0"/>
        <w:rPr>
          <w:rFonts w:ascii="Times New Roman" w:hAnsi="Times New Roman" w:cs="Times New Roman"/>
        </w:rPr>
      </w:pPr>
    </w:p>
    <w:p w14:paraId="558B7937" w14:textId="2F457384" w:rsidR="0038614F" w:rsidRDefault="0038614F" w:rsidP="0038614F">
      <w:pPr>
        <w:spacing w:after="0"/>
        <w:rPr>
          <w:rFonts w:ascii="Times New Roman" w:hAnsi="Times New Roman" w:cs="Times New Roman"/>
        </w:rPr>
      </w:pPr>
      <w:r w:rsidRPr="0038614F">
        <w:rPr>
          <w:rFonts w:ascii="Times New Roman" w:hAnsi="Times New Roman" w:cs="Times New Roman"/>
          <w:b/>
          <w:bCs/>
        </w:rPr>
        <w:t xml:space="preserve">Other Comments- </w:t>
      </w:r>
      <w:r w:rsidRPr="0038614F">
        <w:rPr>
          <w:rFonts w:ascii="Times New Roman" w:hAnsi="Times New Roman" w:cs="Times New Roman"/>
        </w:rPr>
        <w:t xml:space="preserve">CARB’s most recent workshop held on July 21, 2026, focused largely on </w:t>
      </w:r>
      <w:r>
        <w:rPr>
          <w:rFonts w:ascii="Times New Roman" w:hAnsi="Times New Roman" w:cs="Times New Roman"/>
        </w:rPr>
        <w:t>p</w:t>
      </w:r>
      <w:r w:rsidRPr="0038614F">
        <w:rPr>
          <w:rFonts w:ascii="Times New Roman" w:hAnsi="Times New Roman" w:cs="Times New Roman"/>
        </w:rPr>
        <w:t xml:space="preserve">roposed </w:t>
      </w:r>
      <w:r>
        <w:rPr>
          <w:rFonts w:ascii="Times New Roman" w:hAnsi="Times New Roman" w:cs="Times New Roman"/>
        </w:rPr>
        <w:t>r</w:t>
      </w:r>
      <w:r w:rsidRPr="0038614F">
        <w:rPr>
          <w:rFonts w:ascii="Times New Roman" w:hAnsi="Times New Roman" w:cs="Times New Roman"/>
        </w:rPr>
        <w:t xml:space="preserve">equirements for </w:t>
      </w:r>
      <w:r>
        <w:rPr>
          <w:rFonts w:ascii="Times New Roman" w:hAnsi="Times New Roman" w:cs="Times New Roman"/>
        </w:rPr>
        <w:t>g</w:t>
      </w:r>
      <w:r w:rsidRPr="0038614F">
        <w:rPr>
          <w:rFonts w:ascii="Times New Roman" w:hAnsi="Times New Roman" w:cs="Times New Roman"/>
        </w:rPr>
        <w:t xml:space="preserve">reenhouse </w:t>
      </w:r>
      <w:r>
        <w:rPr>
          <w:rFonts w:ascii="Times New Roman" w:hAnsi="Times New Roman" w:cs="Times New Roman"/>
        </w:rPr>
        <w:t>g</w:t>
      </w:r>
      <w:r w:rsidRPr="0038614F">
        <w:rPr>
          <w:rFonts w:ascii="Times New Roman" w:hAnsi="Times New Roman" w:cs="Times New Roman"/>
        </w:rPr>
        <w:t xml:space="preserve">as </w:t>
      </w:r>
      <w:r>
        <w:rPr>
          <w:rFonts w:ascii="Times New Roman" w:hAnsi="Times New Roman" w:cs="Times New Roman"/>
        </w:rPr>
        <w:t>r</w:t>
      </w:r>
      <w:r w:rsidRPr="0038614F">
        <w:rPr>
          <w:rFonts w:ascii="Times New Roman" w:hAnsi="Times New Roman" w:cs="Times New Roman"/>
        </w:rPr>
        <w:t xml:space="preserve">eporting in 2027 and </w:t>
      </w:r>
      <w:r>
        <w:rPr>
          <w:rFonts w:ascii="Times New Roman" w:hAnsi="Times New Roman" w:cs="Times New Roman"/>
        </w:rPr>
        <w:t>b</w:t>
      </w:r>
      <w:r w:rsidRPr="0038614F">
        <w:rPr>
          <w:rFonts w:ascii="Times New Roman" w:hAnsi="Times New Roman" w:cs="Times New Roman"/>
        </w:rPr>
        <w:t>eyond (</w:t>
      </w:r>
      <w:r>
        <w:rPr>
          <w:rFonts w:ascii="Times New Roman" w:hAnsi="Times New Roman" w:cs="Times New Roman"/>
        </w:rPr>
        <w:t>s</w:t>
      </w:r>
      <w:r w:rsidRPr="0038614F">
        <w:rPr>
          <w:rFonts w:ascii="Times New Roman" w:hAnsi="Times New Roman" w:cs="Times New Roman"/>
        </w:rPr>
        <w:t xml:space="preserve">ubsequent </w:t>
      </w:r>
      <w:r>
        <w:rPr>
          <w:rFonts w:ascii="Times New Roman" w:hAnsi="Times New Roman" w:cs="Times New Roman"/>
        </w:rPr>
        <w:t>r</w:t>
      </w:r>
      <w:r w:rsidRPr="0038614F">
        <w:rPr>
          <w:rFonts w:ascii="Times New Roman" w:hAnsi="Times New Roman" w:cs="Times New Roman"/>
        </w:rPr>
        <w:t>ulemaking)</w:t>
      </w:r>
      <w:r>
        <w:rPr>
          <w:rFonts w:ascii="Times New Roman" w:hAnsi="Times New Roman" w:cs="Times New Roman"/>
        </w:rPr>
        <w:t>. Since this information is not a part of the current comment period, CCEEB will submit separate comments specific to the July 21</w:t>
      </w:r>
      <w:r w:rsidRPr="0038614F">
        <w:rPr>
          <w:rFonts w:ascii="Times New Roman" w:hAnsi="Times New Roman" w:cs="Times New Roman"/>
          <w:vertAlign w:val="superscript"/>
        </w:rPr>
        <w:t>st</w:t>
      </w:r>
      <w:r>
        <w:rPr>
          <w:rFonts w:ascii="Times New Roman" w:hAnsi="Times New Roman" w:cs="Times New Roman"/>
        </w:rPr>
        <w:t xml:space="preserve"> workshop.</w:t>
      </w:r>
    </w:p>
    <w:p w14:paraId="5BFA07E7" w14:textId="77777777" w:rsidR="006C7AAB" w:rsidRDefault="006C7AAB" w:rsidP="0038614F">
      <w:pPr>
        <w:spacing w:after="0"/>
        <w:rPr>
          <w:rFonts w:ascii="Times New Roman" w:hAnsi="Times New Roman" w:cs="Times New Roman"/>
        </w:rPr>
      </w:pPr>
    </w:p>
    <w:p w14:paraId="32760ABE" w14:textId="6AF1DE5A" w:rsidR="006C7AAB" w:rsidRPr="006C7AAB" w:rsidRDefault="006C7AAB" w:rsidP="006C7AAB">
      <w:pPr>
        <w:spacing w:after="0"/>
        <w:rPr>
          <w:rFonts w:ascii="Times New Roman" w:hAnsi="Times New Roman" w:cs="Times New Roman"/>
        </w:rPr>
      </w:pPr>
      <w:r w:rsidRPr="006C7AAB">
        <w:rPr>
          <w:rFonts w:ascii="Times New Roman" w:hAnsi="Times New Roman" w:cs="Times New Roman"/>
        </w:rPr>
        <w:lastRenderedPageBreak/>
        <w:t xml:space="preserve">CCEEB appreciates the opportunity for additional comments on the proposed initial regulation. If you have any questions, please feel free to contact Kirstin Kolpitcke, Senior Associate at </w:t>
      </w:r>
      <w:hyperlink r:id="rId7" w:history="1">
        <w:r w:rsidRPr="006C7AAB">
          <w:rPr>
            <w:rStyle w:val="Hyperlink"/>
            <w:rFonts w:ascii="Times New Roman" w:hAnsi="Times New Roman" w:cs="Times New Roman"/>
          </w:rPr>
          <w:t>kirstink@cceeb.org</w:t>
        </w:r>
      </w:hyperlink>
      <w:r w:rsidRPr="006C7AAB">
        <w:rPr>
          <w:rFonts w:ascii="Times New Roman" w:hAnsi="Times New Roman" w:cs="Times New Roman"/>
        </w:rPr>
        <w:t xml:space="preserve"> or me at </w:t>
      </w:r>
      <w:hyperlink r:id="rId8" w:history="1">
        <w:r w:rsidRPr="006C7AAB">
          <w:rPr>
            <w:rStyle w:val="Hyperlink"/>
            <w:rFonts w:ascii="Times New Roman" w:hAnsi="Times New Roman" w:cs="Times New Roman"/>
          </w:rPr>
          <w:t>timc@cceeb.org</w:t>
        </w:r>
      </w:hyperlink>
      <w:r w:rsidRPr="006C7AAB">
        <w:rPr>
          <w:rFonts w:ascii="Times New Roman" w:hAnsi="Times New Roman" w:cs="Times New Roman"/>
        </w:rPr>
        <w:t xml:space="preserve">. </w:t>
      </w:r>
    </w:p>
    <w:p w14:paraId="427A7EF5" w14:textId="1E07230C" w:rsidR="006C7AAB" w:rsidRDefault="006C7AAB" w:rsidP="0038614F">
      <w:pPr>
        <w:spacing w:after="0"/>
        <w:rPr>
          <w:rFonts w:ascii="Times New Roman" w:hAnsi="Times New Roman" w:cs="Times New Roman"/>
        </w:rPr>
      </w:pPr>
      <w:r>
        <w:rPr>
          <w:rFonts w:ascii="Times New Roman" w:hAnsi="Times New Roman" w:cs="Times New Roman"/>
          <w:noProof/>
        </w:rPr>
        <w:drawing>
          <wp:anchor distT="0" distB="0" distL="114300" distR="114300" simplePos="0" relativeHeight="251658240" behindDoc="1" locked="0" layoutInCell="1" allowOverlap="1" wp14:anchorId="1DD8CA8B" wp14:editId="0D3318DB">
            <wp:simplePos x="0" y="0"/>
            <wp:positionH relativeFrom="column">
              <wp:posOffset>-177800</wp:posOffset>
            </wp:positionH>
            <wp:positionV relativeFrom="paragraph">
              <wp:posOffset>107950</wp:posOffset>
            </wp:positionV>
            <wp:extent cx="1837944" cy="1033272"/>
            <wp:effectExtent l="0" t="0" r="3810" b="0"/>
            <wp:wrapNone/>
            <wp:docPr id="10336994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699443" name="Picture 1033699443"/>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37944" cy="1033272"/>
                    </a:xfrm>
                    <a:prstGeom prst="rect">
                      <a:avLst/>
                    </a:prstGeom>
                  </pic:spPr>
                </pic:pic>
              </a:graphicData>
            </a:graphic>
            <wp14:sizeRelH relativeFrom="page">
              <wp14:pctWidth>0</wp14:pctWidth>
            </wp14:sizeRelH>
            <wp14:sizeRelV relativeFrom="page">
              <wp14:pctHeight>0</wp14:pctHeight>
            </wp14:sizeRelV>
          </wp:anchor>
        </w:drawing>
      </w:r>
    </w:p>
    <w:p w14:paraId="7CD53636" w14:textId="76423790" w:rsidR="006C7AAB" w:rsidRDefault="006C7AAB" w:rsidP="0038614F">
      <w:pPr>
        <w:spacing w:after="0"/>
        <w:rPr>
          <w:rFonts w:ascii="Times New Roman" w:hAnsi="Times New Roman" w:cs="Times New Roman"/>
        </w:rPr>
      </w:pPr>
      <w:r>
        <w:rPr>
          <w:rFonts w:ascii="Times New Roman" w:hAnsi="Times New Roman" w:cs="Times New Roman"/>
        </w:rPr>
        <w:t xml:space="preserve">Sincerely, </w:t>
      </w:r>
    </w:p>
    <w:p w14:paraId="3C1D8CCE" w14:textId="5DB258D7" w:rsidR="006C7AAB" w:rsidRDefault="006C7AAB" w:rsidP="0038614F">
      <w:pPr>
        <w:spacing w:after="0"/>
        <w:rPr>
          <w:rFonts w:ascii="Times New Roman" w:hAnsi="Times New Roman" w:cs="Times New Roman"/>
        </w:rPr>
      </w:pPr>
    </w:p>
    <w:p w14:paraId="0F659742" w14:textId="77777777" w:rsidR="006C7AAB" w:rsidRDefault="006C7AAB" w:rsidP="0038614F">
      <w:pPr>
        <w:spacing w:after="0"/>
        <w:rPr>
          <w:rFonts w:ascii="Times New Roman" w:hAnsi="Times New Roman" w:cs="Times New Roman"/>
        </w:rPr>
      </w:pPr>
    </w:p>
    <w:p w14:paraId="6D4F54E2" w14:textId="12D84F44" w:rsidR="006C7AAB" w:rsidRDefault="006C7AAB" w:rsidP="0038614F">
      <w:pPr>
        <w:spacing w:after="0"/>
        <w:rPr>
          <w:rFonts w:ascii="Times New Roman" w:hAnsi="Times New Roman" w:cs="Times New Roman"/>
        </w:rPr>
      </w:pPr>
      <w:r>
        <w:rPr>
          <w:rFonts w:ascii="Times New Roman" w:hAnsi="Times New Roman" w:cs="Times New Roman"/>
        </w:rPr>
        <w:t>Tim Carmichael</w:t>
      </w:r>
    </w:p>
    <w:p w14:paraId="4A917043" w14:textId="4C983C4A" w:rsidR="006C7AAB" w:rsidRDefault="006C7AAB" w:rsidP="0038614F">
      <w:pPr>
        <w:spacing w:after="0"/>
        <w:rPr>
          <w:rFonts w:ascii="Times New Roman" w:hAnsi="Times New Roman" w:cs="Times New Roman"/>
        </w:rPr>
      </w:pPr>
      <w:r>
        <w:rPr>
          <w:rFonts w:ascii="Times New Roman" w:hAnsi="Times New Roman" w:cs="Times New Roman"/>
        </w:rPr>
        <w:t>President and CEO</w:t>
      </w:r>
    </w:p>
    <w:p w14:paraId="4DB246D8" w14:textId="4CDA3C9B" w:rsidR="006C7AAB" w:rsidRDefault="006C7AAB" w:rsidP="0038614F">
      <w:pPr>
        <w:spacing w:after="0"/>
        <w:rPr>
          <w:rFonts w:ascii="Times New Roman" w:hAnsi="Times New Roman" w:cs="Times New Roman"/>
        </w:rPr>
      </w:pPr>
      <w:r>
        <w:rPr>
          <w:rFonts w:ascii="Times New Roman" w:hAnsi="Times New Roman" w:cs="Times New Roman"/>
        </w:rPr>
        <w:t>California Council for Environmental and Economic Balance (CCEEB)</w:t>
      </w:r>
    </w:p>
    <w:p w14:paraId="0A387596" w14:textId="77777777" w:rsidR="006C7AAB" w:rsidRDefault="006C7AAB" w:rsidP="0038614F">
      <w:pPr>
        <w:spacing w:after="0"/>
        <w:rPr>
          <w:rFonts w:ascii="Times New Roman" w:hAnsi="Times New Roman" w:cs="Times New Roman"/>
        </w:rPr>
      </w:pPr>
    </w:p>
    <w:p w14:paraId="2F846FF5" w14:textId="7238E145" w:rsidR="006C7AAB" w:rsidRDefault="006C7AAB" w:rsidP="0038614F">
      <w:pPr>
        <w:spacing w:after="0"/>
        <w:rPr>
          <w:rFonts w:ascii="Times New Roman" w:hAnsi="Times New Roman" w:cs="Times New Roman"/>
        </w:rPr>
      </w:pPr>
      <w:r>
        <w:rPr>
          <w:rFonts w:ascii="Times New Roman" w:hAnsi="Times New Roman" w:cs="Times New Roman"/>
        </w:rPr>
        <w:t>cc:</w:t>
      </w:r>
      <w:r>
        <w:rPr>
          <w:rFonts w:ascii="Times New Roman" w:hAnsi="Times New Roman" w:cs="Times New Roman"/>
        </w:rPr>
        <w:tab/>
        <w:t>Sydney Vergis</w:t>
      </w:r>
    </w:p>
    <w:p w14:paraId="717B9844" w14:textId="56E00A54" w:rsidR="006C7AAB" w:rsidRPr="0038614F" w:rsidRDefault="006C7AAB" w:rsidP="0038614F">
      <w:pPr>
        <w:spacing w:after="0"/>
        <w:rPr>
          <w:rFonts w:ascii="Times New Roman" w:hAnsi="Times New Roman" w:cs="Times New Roman"/>
        </w:rPr>
      </w:pPr>
      <w:r>
        <w:rPr>
          <w:rFonts w:ascii="Times New Roman" w:hAnsi="Times New Roman" w:cs="Times New Roman"/>
        </w:rPr>
        <w:tab/>
        <w:t>Assistance Deputy Executive, Industrial Strategies Division</w:t>
      </w:r>
    </w:p>
    <w:p w14:paraId="4C829F46" w14:textId="62B612A9" w:rsidR="0038614F" w:rsidRPr="0038614F" w:rsidRDefault="0038614F" w:rsidP="0084668F">
      <w:pPr>
        <w:spacing w:after="0"/>
        <w:rPr>
          <w:rFonts w:ascii="Times New Roman" w:hAnsi="Times New Roman" w:cs="Times New Roman"/>
        </w:rPr>
      </w:pPr>
    </w:p>
    <w:p w14:paraId="06759155" w14:textId="77777777" w:rsidR="0084668F" w:rsidRDefault="0084668F"/>
    <w:sectPr w:rsidR="0084668F">
      <w:footerReference w:type="even"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E933C" w14:textId="77777777" w:rsidR="007E472B" w:rsidRDefault="007E472B" w:rsidP="00B42CD4">
      <w:pPr>
        <w:spacing w:after="0" w:line="240" w:lineRule="auto"/>
      </w:pPr>
      <w:r>
        <w:separator/>
      </w:r>
    </w:p>
  </w:endnote>
  <w:endnote w:type="continuationSeparator" w:id="0">
    <w:p w14:paraId="2D6C90EF" w14:textId="77777777" w:rsidR="007E472B" w:rsidRDefault="007E472B" w:rsidP="00B42C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66771473"/>
      <w:docPartObj>
        <w:docPartGallery w:val="Page Numbers (Bottom of Page)"/>
        <w:docPartUnique/>
      </w:docPartObj>
    </w:sdtPr>
    <w:sdtContent>
      <w:p w14:paraId="0F540C89" w14:textId="6D121116" w:rsidR="00B42CD4" w:rsidRDefault="00B42CD4" w:rsidP="00110F5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A95C92F" w14:textId="77777777" w:rsidR="00B42CD4" w:rsidRDefault="00B42CD4" w:rsidP="00B42CD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68117714"/>
      <w:docPartObj>
        <w:docPartGallery w:val="Page Numbers (Bottom of Page)"/>
        <w:docPartUnique/>
      </w:docPartObj>
    </w:sdtPr>
    <w:sdtContent>
      <w:p w14:paraId="664BA613" w14:textId="5FC8B58C" w:rsidR="00B42CD4" w:rsidRDefault="00B42CD4" w:rsidP="00110F5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717C774" w14:textId="77777777" w:rsidR="00B42CD4" w:rsidRDefault="00B42CD4" w:rsidP="00B42CD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8AE839" w14:textId="77777777" w:rsidR="007E472B" w:rsidRDefault="007E472B" w:rsidP="00B42CD4">
      <w:pPr>
        <w:spacing w:after="0" w:line="240" w:lineRule="auto"/>
      </w:pPr>
      <w:r>
        <w:separator/>
      </w:r>
    </w:p>
  </w:footnote>
  <w:footnote w:type="continuationSeparator" w:id="0">
    <w:p w14:paraId="0FEBFF0A" w14:textId="77777777" w:rsidR="007E472B" w:rsidRDefault="007E472B" w:rsidP="00B42CD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015"/>
    <w:rsid w:val="000A2126"/>
    <w:rsid w:val="00223DC2"/>
    <w:rsid w:val="00227A96"/>
    <w:rsid w:val="00283270"/>
    <w:rsid w:val="00347463"/>
    <w:rsid w:val="0038614F"/>
    <w:rsid w:val="00513015"/>
    <w:rsid w:val="0052461B"/>
    <w:rsid w:val="00560D89"/>
    <w:rsid w:val="00591682"/>
    <w:rsid w:val="005A5EC6"/>
    <w:rsid w:val="006617FE"/>
    <w:rsid w:val="006C7AAB"/>
    <w:rsid w:val="007D05CC"/>
    <w:rsid w:val="007E472B"/>
    <w:rsid w:val="008452FD"/>
    <w:rsid w:val="0084668F"/>
    <w:rsid w:val="008D20D3"/>
    <w:rsid w:val="00B42CD4"/>
    <w:rsid w:val="00B455E3"/>
    <w:rsid w:val="00C5090C"/>
    <w:rsid w:val="00C8170D"/>
    <w:rsid w:val="00D00A8D"/>
    <w:rsid w:val="00D02A2C"/>
    <w:rsid w:val="00D26B94"/>
    <w:rsid w:val="00D36D05"/>
    <w:rsid w:val="00E17471"/>
    <w:rsid w:val="00E62D75"/>
    <w:rsid w:val="00F524F4"/>
    <w:rsid w:val="00F7060E"/>
    <w:rsid w:val="00FD4657"/>
    <w:rsid w:val="00FF48A2"/>
    <w:rsid w:val="00FF5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2019F"/>
  <w15:chartTrackingRefBased/>
  <w15:docId w15:val="{A2596C7D-06AE-0443-ADD0-0AB19705E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30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30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30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30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30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30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30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30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30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30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30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30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30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30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30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30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30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3015"/>
    <w:rPr>
      <w:rFonts w:eastAsiaTheme="majorEastAsia" w:cstheme="majorBidi"/>
      <w:color w:val="272727" w:themeColor="text1" w:themeTint="D8"/>
    </w:rPr>
  </w:style>
  <w:style w:type="paragraph" w:styleId="Title">
    <w:name w:val="Title"/>
    <w:basedOn w:val="Normal"/>
    <w:next w:val="Normal"/>
    <w:link w:val="TitleChar"/>
    <w:uiPriority w:val="10"/>
    <w:qFormat/>
    <w:rsid w:val="005130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30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30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30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3015"/>
    <w:pPr>
      <w:spacing w:before="160"/>
      <w:jc w:val="center"/>
    </w:pPr>
    <w:rPr>
      <w:i/>
      <w:iCs/>
      <w:color w:val="404040" w:themeColor="text1" w:themeTint="BF"/>
    </w:rPr>
  </w:style>
  <w:style w:type="character" w:customStyle="1" w:styleId="QuoteChar">
    <w:name w:val="Quote Char"/>
    <w:basedOn w:val="DefaultParagraphFont"/>
    <w:link w:val="Quote"/>
    <w:uiPriority w:val="29"/>
    <w:rsid w:val="00513015"/>
    <w:rPr>
      <w:i/>
      <w:iCs/>
      <w:color w:val="404040" w:themeColor="text1" w:themeTint="BF"/>
    </w:rPr>
  </w:style>
  <w:style w:type="paragraph" w:styleId="ListParagraph">
    <w:name w:val="List Paragraph"/>
    <w:basedOn w:val="Normal"/>
    <w:uiPriority w:val="34"/>
    <w:qFormat/>
    <w:rsid w:val="00513015"/>
    <w:pPr>
      <w:ind w:left="720"/>
      <w:contextualSpacing/>
    </w:pPr>
  </w:style>
  <w:style w:type="character" w:styleId="IntenseEmphasis">
    <w:name w:val="Intense Emphasis"/>
    <w:basedOn w:val="DefaultParagraphFont"/>
    <w:uiPriority w:val="21"/>
    <w:qFormat/>
    <w:rsid w:val="00513015"/>
    <w:rPr>
      <w:i/>
      <w:iCs/>
      <w:color w:val="0F4761" w:themeColor="accent1" w:themeShade="BF"/>
    </w:rPr>
  </w:style>
  <w:style w:type="paragraph" w:styleId="IntenseQuote">
    <w:name w:val="Intense Quote"/>
    <w:basedOn w:val="Normal"/>
    <w:next w:val="Normal"/>
    <w:link w:val="IntenseQuoteChar"/>
    <w:uiPriority w:val="30"/>
    <w:qFormat/>
    <w:rsid w:val="005130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3015"/>
    <w:rPr>
      <w:i/>
      <w:iCs/>
      <w:color w:val="0F4761" w:themeColor="accent1" w:themeShade="BF"/>
    </w:rPr>
  </w:style>
  <w:style w:type="character" w:styleId="IntenseReference">
    <w:name w:val="Intense Reference"/>
    <w:basedOn w:val="DefaultParagraphFont"/>
    <w:uiPriority w:val="32"/>
    <w:qFormat/>
    <w:rsid w:val="00513015"/>
    <w:rPr>
      <w:b/>
      <w:bCs/>
      <w:smallCaps/>
      <w:color w:val="0F4761" w:themeColor="accent1" w:themeShade="BF"/>
      <w:spacing w:val="5"/>
    </w:rPr>
  </w:style>
  <w:style w:type="paragraph" w:styleId="Footer">
    <w:name w:val="footer"/>
    <w:basedOn w:val="Normal"/>
    <w:link w:val="FooterChar"/>
    <w:uiPriority w:val="99"/>
    <w:unhideWhenUsed/>
    <w:rsid w:val="00B42C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2CD4"/>
  </w:style>
  <w:style w:type="character" w:styleId="PageNumber">
    <w:name w:val="page number"/>
    <w:basedOn w:val="DefaultParagraphFont"/>
    <w:uiPriority w:val="99"/>
    <w:semiHidden/>
    <w:unhideWhenUsed/>
    <w:rsid w:val="00B42CD4"/>
  </w:style>
  <w:style w:type="character" w:styleId="Hyperlink">
    <w:name w:val="Hyperlink"/>
    <w:basedOn w:val="DefaultParagraphFont"/>
    <w:uiPriority w:val="99"/>
    <w:unhideWhenUsed/>
    <w:rsid w:val="006C7AAB"/>
    <w:rPr>
      <w:color w:val="467886" w:themeColor="hyperlink"/>
      <w:u w:val="single"/>
    </w:rPr>
  </w:style>
  <w:style w:type="paragraph" w:styleId="Revision">
    <w:name w:val="Revision"/>
    <w:hidden/>
    <w:uiPriority w:val="99"/>
    <w:semiHidden/>
    <w:rsid w:val="006C7AA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imc@cceeb.org"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kirstink@cceeb.org"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190</TotalTime>
  <Pages>4</Pages>
  <Words>1176</Words>
  <Characters>6669</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Kirstin Kolpitcke</dc:creator>
  <cp:keywords/>
  <dc:description/>
  <cp:lastModifiedBy>Kirstin Kolpitcke</cp:lastModifiedBy>
  <cp:revision>8</cp:revision>
  <dcterms:created xsi:type="dcterms:W3CDTF">2026-08-03T17:57:00Z</dcterms:created>
  <dcterms:modified xsi:type="dcterms:W3CDTF">2026-08-11T22:48:00Z</dcterms:modified>
</cp:coreProperties>
</file>