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10C1" w14:textId="09C5C8BC" w:rsidR="00E90B46" w:rsidRDefault="00E90B46" w:rsidP="00694342">
      <w:pPr>
        <w:widowControl w:val="0"/>
        <w:spacing w:line="240" w:lineRule="auto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03B27A4A" wp14:editId="3C6142CC">
            <wp:simplePos x="0" y="0"/>
            <wp:positionH relativeFrom="page">
              <wp:posOffset>918575</wp:posOffset>
            </wp:positionH>
            <wp:positionV relativeFrom="page">
              <wp:posOffset>914400</wp:posOffset>
            </wp:positionV>
            <wp:extent cx="1962150" cy="695325"/>
            <wp:effectExtent l="0" t="0" r="0" b="9525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621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265EFB" w14:textId="77777777" w:rsidR="00E90B46" w:rsidRDefault="00E90B46" w:rsidP="00694342">
      <w:pPr>
        <w:widowControl w:val="0"/>
        <w:spacing w:line="240" w:lineRule="auto"/>
        <w:rPr>
          <w:color w:val="000000"/>
          <w:sz w:val="28"/>
          <w:szCs w:val="28"/>
        </w:rPr>
      </w:pPr>
    </w:p>
    <w:p w14:paraId="38D1A6FD" w14:textId="77777777" w:rsidR="00E90B46" w:rsidRDefault="00E90B46" w:rsidP="00694342">
      <w:pPr>
        <w:widowControl w:val="0"/>
        <w:spacing w:line="240" w:lineRule="auto"/>
        <w:rPr>
          <w:color w:val="000000"/>
          <w:sz w:val="28"/>
          <w:szCs w:val="28"/>
        </w:rPr>
      </w:pPr>
    </w:p>
    <w:p w14:paraId="40DBA545" w14:textId="77777777" w:rsidR="00E90B46" w:rsidRDefault="00E90B46" w:rsidP="00694342">
      <w:pPr>
        <w:widowControl w:val="0"/>
        <w:spacing w:line="240" w:lineRule="auto"/>
        <w:rPr>
          <w:color w:val="000000"/>
          <w:sz w:val="28"/>
          <w:szCs w:val="28"/>
        </w:rPr>
      </w:pPr>
    </w:p>
    <w:p w14:paraId="159400DA" w14:textId="77777777" w:rsidR="00E90B46" w:rsidRDefault="00E90B46" w:rsidP="00694342">
      <w:pPr>
        <w:widowControl w:val="0"/>
        <w:spacing w:line="240" w:lineRule="auto"/>
        <w:rPr>
          <w:color w:val="000000"/>
          <w:sz w:val="28"/>
          <w:szCs w:val="28"/>
        </w:rPr>
      </w:pPr>
    </w:p>
    <w:p w14:paraId="6B7F0184" w14:textId="43DE032B" w:rsidR="00E90B46" w:rsidRPr="00F325EF" w:rsidRDefault="00ED4C23" w:rsidP="00ED4C23">
      <w:pPr>
        <w:widowControl w:val="0"/>
        <w:spacing w:line="240" w:lineRule="auto"/>
        <w:ind w:left="-720"/>
        <w:jc w:val="center"/>
        <w:rPr>
          <w:b/>
          <w:bCs/>
          <w:color w:val="000000"/>
          <w:sz w:val="28"/>
          <w:szCs w:val="28"/>
        </w:rPr>
      </w:pPr>
      <w:r w:rsidRPr="00ED4C23">
        <w:rPr>
          <w:b/>
          <w:bCs/>
          <w:color w:val="000000"/>
          <w:sz w:val="28"/>
          <w:szCs w:val="28"/>
        </w:rPr>
        <w:t xml:space="preserve">Public Comment in Support of Proposed Amendments to Use </w:t>
      </w:r>
      <w:r>
        <w:rPr>
          <w:b/>
          <w:bCs/>
          <w:color w:val="000000"/>
          <w:sz w:val="28"/>
          <w:szCs w:val="28"/>
        </w:rPr>
        <w:br/>
      </w:r>
      <w:r w:rsidRPr="00ED4C23">
        <w:rPr>
          <w:b/>
          <w:bCs/>
          <w:color w:val="000000"/>
          <w:sz w:val="28"/>
          <w:szCs w:val="28"/>
        </w:rPr>
        <w:t>Cap-and-Invest Allowance Revenue for Electric Rate Reductions</w:t>
      </w:r>
    </w:p>
    <w:p w14:paraId="01BD1023" w14:textId="77777777" w:rsidR="00E90B46" w:rsidRDefault="00E90B46" w:rsidP="00ED4C23">
      <w:pPr>
        <w:widowControl w:val="0"/>
        <w:spacing w:line="240" w:lineRule="auto"/>
        <w:jc w:val="center"/>
        <w:rPr>
          <w:color w:val="000000"/>
          <w:sz w:val="28"/>
          <w:szCs w:val="28"/>
        </w:rPr>
      </w:pPr>
    </w:p>
    <w:p w14:paraId="38128A69" w14:textId="6B4C1AC0" w:rsidR="00694342" w:rsidRPr="00E90B46" w:rsidRDefault="00694342" w:rsidP="00694342">
      <w:pPr>
        <w:widowControl w:val="0"/>
        <w:spacing w:line="240" w:lineRule="auto"/>
        <w:rPr>
          <w:color w:val="000000"/>
          <w:w w:val="99"/>
          <w:sz w:val="24"/>
          <w:szCs w:val="24"/>
        </w:rPr>
      </w:pPr>
      <w:r w:rsidRPr="00E90B46">
        <w:rPr>
          <w:color w:val="000000"/>
          <w:sz w:val="24"/>
          <w:szCs w:val="24"/>
        </w:rPr>
        <w:t xml:space="preserve">March </w:t>
      </w:r>
      <w:r w:rsidR="00DD52A8">
        <w:rPr>
          <w:color w:val="000000"/>
          <w:sz w:val="24"/>
          <w:szCs w:val="24"/>
        </w:rPr>
        <w:t>6</w:t>
      </w:r>
      <w:r w:rsidRPr="00E90B46">
        <w:rPr>
          <w:color w:val="000000"/>
          <w:sz w:val="24"/>
          <w:szCs w:val="24"/>
        </w:rPr>
        <w:t>, 2026</w:t>
      </w:r>
    </w:p>
    <w:p w14:paraId="5CBBEBE5" w14:textId="77777777" w:rsidR="00694342" w:rsidRDefault="00694342" w:rsidP="00694342">
      <w:pPr>
        <w:spacing w:line="240" w:lineRule="exact"/>
        <w:rPr>
          <w:w w:val="99"/>
          <w:sz w:val="24"/>
          <w:szCs w:val="24"/>
        </w:rPr>
      </w:pPr>
    </w:p>
    <w:p w14:paraId="5C7AA821" w14:textId="45129678" w:rsidR="00694342" w:rsidRPr="00062B2E" w:rsidRDefault="00694342" w:rsidP="00694342">
      <w:pPr>
        <w:widowControl w:val="0"/>
        <w:spacing w:line="277" w:lineRule="auto"/>
        <w:ind w:right="584"/>
        <w:rPr>
          <w:color w:val="000000"/>
          <w:w w:val="99"/>
          <w:sz w:val="24"/>
          <w:szCs w:val="24"/>
        </w:rPr>
      </w:pPr>
      <w:r w:rsidRPr="00062B2E">
        <w:rPr>
          <w:color w:val="000000"/>
          <w:w w:val="99"/>
          <w:sz w:val="24"/>
          <w:szCs w:val="24"/>
        </w:rPr>
        <w:t xml:space="preserve">State climate laws, including AB 32, AB 398 and AB 1207, require that implementing agencies take into account consumer affordability among several important goals. To that end, California’s cap-and-trade (now cap-and-invest) program </w:t>
      </w:r>
      <w:r w:rsidR="00875F5A">
        <w:rPr>
          <w:color w:val="000000"/>
          <w:w w:val="99"/>
          <w:sz w:val="24"/>
          <w:szCs w:val="24"/>
        </w:rPr>
        <w:t>requires</w:t>
      </w:r>
      <w:r w:rsidR="000F5847">
        <w:rPr>
          <w:color w:val="000000"/>
          <w:w w:val="99"/>
          <w:sz w:val="24"/>
          <w:szCs w:val="24"/>
        </w:rPr>
        <w:t xml:space="preserve"> utilities </w:t>
      </w:r>
      <w:r w:rsidR="008E7C11">
        <w:rPr>
          <w:color w:val="000000"/>
          <w:w w:val="99"/>
          <w:sz w:val="24"/>
          <w:szCs w:val="24"/>
        </w:rPr>
        <w:t xml:space="preserve">to </w:t>
      </w:r>
      <w:r w:rsidR="000F5847">
        <w:rPr>
          <w:color w:val="000000"/>
          <w:w w:val="99"/>
          <w:sz w:val="24"/>
          <w:szCs w:val="24"/>
        </w:rPr>
        <w:t>return the revenue from the sale of their</w:t>
      </w:r>
      <w:r w:rsidR="008F726C">
        <w:rPr>
          <w:color w:val="000000"/>
          <w:w w:val="99"/>
          <w:sz w:val="24"/>
          <w:szCs w:val="24"/>
        </w:rPr>
        <w:t xml:space="preserve"> free</w:t>
      </w:r>
      <w:r w:rsidR="008E7C11">
        <w:rPr>
          <w:color w:val="000000"/>
          <w:w w:val="99"/>
          <w:sz w:val="24"/>
          <w:szCs w:val="24"/>
        </w:rPr>
        <w:t xml:space="preserve"> </w:t>
      </w:r>
      <w:r w:rsidRPr="00062B2E">
        <w:rPr>
          <w:color w:val="000000"/>
          <w:w w:val="99"/>
          <w:sz w:val="24"/>
          <w:szCs w:val="24"/>
        </w:rPr>
        <w:t xml:space="preserve">emissions allowances </w:t>
      </w:r>
      <w:r w:rsidR="00DD1F4D">
        <w:rPr>
          <w:color w:val="000000"/>
          <w:w w:val="99"/>
          <w:sz w:val="24"/>
          <w:szCs w:val="24"/>
        </w:rPr>
        <w:t>to</w:t>
      </w:r>
      <w:r w:rsidRPr="00062B2E">
        <w:rPr>
          <w:color w:val="000000"/>
          <w:w w:val="99"/>
          <w:sz w:val="24"/>
          <w:szCs w:val="24"/>
        </w:rPr>
        <w:t xml:space="preserve"> customers in the form of </w:t>
      </w:r>
      <w:r w:rsidR="008E7C11">
        <w:rPr>
          <w:color w:val="000000"/>
          <w:w w:val="99"/>
          <w:sz w:val="24"/>
          <w:szCs w:val="24"/>
        </w:rPr>
        <w:t xml:space="preserve">lump-sum </w:t>
      </w:r>
      <w:r w:rsidRPr="00062B2E">
        <w:rPr>
          <w:color w:val="000000"/>
          <w:w w:val="99"/>
          <w:sz w:val="24"/>
          <w:szCs w:val="24"/>
        </w:rPr>
        <w:t xml:space="preserve">California Climate Credits. We are pleased that the Legislature </w:t>
      </w:r>
      <w:r w:rsidR="00ED4C23">
        <w:rPr>
          <w:color w:val="000000"/>
          <w:w w:val="99"/>
          <w:sz w:val="24"/>
          <w:szCs w:val="24"/>
        </w:rPr>
        <w:t xml:space="preserve">last year </w:t>
      </w:r>
      <w:r w:rsidR="00DD1F4D">
        <w:rPr>
          <w:color w:val="000000"/>
          <w:w w:val="99"/>
          <w:sz w:val="24"/>
          <w:szCs w:val="24"/>
        </w:rPr>
        <w:t>mandat</w:t>
      </w:r>
      <w:r w:rsidR="008F726C">
        <w:rPr>
          <w:color w:val="000000"/>
          <w:w w:val="99"/>
          <w:sz w:val="24"/>
          <w:szCs w:val="24"/>
        </w:rPr>
        <w:t>ed</w:t>
      </w:r>
      <w:r w:rsidR="00DD1F4D">
        <w:rPr>
          <w:color w:val="000000"/>
          <w:w w:val="99"/>
          <w:sz w:val="24"/>
          <w:szCs w:val="24"/>
        </w:rPr>
        <w:t xml:space="preserve"> </w:t>
      </w:r>
      <w:r w:rsidRPr="00062B2E">
        <w:rPr>
          <w:color w:val="000000"/>
          <w:w w:val="99"/>
          <w:sz w:val="24"/>
          <w:szCs w:val="24"/>
        </w:rPr>
        <w:t>a phased transition of natural gas utility allowances to Electrical Distribution Utilities (EDUs)</w:t>
      </w:r>
      <w:r w:rsidR="001F2EEC">
        <w:rPr>
          <w:color w:val="000000"/>
          <w:w w:val="99"/>
          <w:sz w:val="24"/>
          <w:szCs w:val="24"/>
        </w:rPr>
        <w:t xml:space="preserve">, which </w:t>
      </w:r>
      <w:r w:rsidR="0087771F">
        <w:rPr>
          <w:color w:val="000000"/>
          <w:w w:val="99"/>
          <w:sz w:val="24"/>
          <w:szCs w:val="24"/>
        </w:rPr>
        <w:t>may</w:t>
      </w:r>
      <w:r w:rsidR="001F2EEC">
        <w:rPr>
          <w:color w:val="000000"/>
          <w:w w:val="99"/>
          <w:sz w:val="24"/>
          <w:szCs w:val="24"/>
        </w:rPr>
        <w:t xml:space="preserve"> encourage households to adopt cleaner electricity-powered solutions </w:t>
      </w:r>
      <w:r w:rsidR="00ED4C23">
        <w:rPr>
          <w:color w:val="000000"/>
          <w:w w:val="99"/>
          <w:sz w:val="24"/>
          <w:szCs w:val="24"/>
        </w:rPr>
        <w:t>for</w:t>
      </w:r>
      <w:r w:rsidR="001F2EEC">
        <w:rPr>
          <w:color w:val="000000"/>
          <w:w w:val="99"/>
          <w:sz w:val="24"/>
          <w:szCs w:val="24"/>
        </w:rPr>
        <w:t xml:space="preserve"> their heating and transportation needs</w:t>
      </w:r>
      <w:r w:rsidRPr="00062B2E">
        <w:rPr>
          <w:color w:val="000000"/>
          <w:w w:val="99"/>
          <w:sz w:val="24"/>
          <w:szCs w:val="24"/>
        </w:rPr>
        <w:t xml:space="preserve">. </w:t>
      </w:r>
      <w:r w:rsidR="005F06BE" w:rsidRPr="006A785B">
        <w:rPr>
          <w:i/>
          <w:iCs/>
          <w:color w:val="000000"/>
          <w:w w:val="99"/>
          <w:sz w:val="24"/>
          <w:szCs w:val="24"/>
        </w:rPr>
        <w:t xml:space="preserve">However, in the spirit of AB 1207, we urge CARB to commit to a much faster transition schedule to make the state’s </w:t>
      </w:r>
      <w:r w:rsidR="00FD3BB7">
        <w:rPr>
          <w:i/>
          <w:iCs/>
          <w:color w:val="000000"/>
          <w:w w:val="99"/>
          <w:sz w:val="24"/>
          <w:szCs w:val="24"/>
        </w:rPr>
        <w:t>support for</w:t>
      </w:r>
      <w:r w:rsidR="005F06BE" w:rsidRPr="006A785B">
        <w:rPr>
          <w:i/>
          <w:iCs/>
          <w:color w:val="000000"/>
          <w:w w:val="99"/>
          <w:sz w:val="24"/>
          <w:szCs w:val="24"/>
        </w:rPr>
        <w:t xml:space="preserve"> clean electrification clear to every Californian</w:t>
      </w:r>
      <w:r w:rsidR="005F06BE">
        <w:rPr>
          <w:color w:val="000000"/>
          <w:w w:val="99"/>
          <w:sz w:val="24"/>
          <w:szCs w:val="24"/>
        </w:rPr>
        <w:t>.</w:t>
      </w:r>
    </w:p>
    <w:p w14:paraId="6890DE77" w14:textId="77777777" w:rsidR="00694342" w:rsidRPr="00062B2E" w:rsidRDefault="00694342" w:rsidP="00694342">
      <w:pPr>
        <w:widowControl w:val="0"/>
        <w:spacing w:line="277" w:lineRule="auto"/>
        <w:ind w:right="584"/>
        <w:rPr>
          <w:color w:val="000000"/>
          <w:w w:val="99"/>
          <w:sz w:val="24"/>
          <w:szCs w:val="24"/>
        </w:rPr>
      </w:pPr>
    </w:p>
    <w:p w14:paraId="18B36B53" w14:textId="13524913" w:rsidR="00694342" w:rsidRDefault="008F726C" w:rsidP="00694342">
      <w:pPr>
        <w:widowControl w:val="0"/>
        <w:spacing w:line="277" w:lineRule="auto"/>
        <w:ind w:right="584"/>
        <w:rPr>
          <w:color w:val="000000"/>
          <w:w w:val="99"/>
          <w:sz w:val="24"/>
          <w:szCs w:val="24"/>
        </w:rPr>
      </w:pPr>
      <w:r w:rsidRPr="006A785B">
        <w:rPr>
          <w:i/>
          <w:iCs/>
          <w:color w:val="000000"/>
          <w:w w:val="99"/>
          <w:sz w:val="24"/>
          <w:szCs w:val="24"/>
        </w:rPr>
        <w:t>We</w:t>
      </w:r>
      <w:r w:rsidR="00694342" w:rsidRPr="006A785B">
        <w:rPr>
          <w:i/>
          <w:iCs/>
          <w:color w:val="000000"/>
          <w:w w:val="99"/>
          <w:sz w:val="24"/>
          <w:szCs w:val="24"/>
        </w:rPr>
        <w:t xml:space="preserve"> </w:t>
      </w:r>
      <w:r w:rsidR="005F06BE" w:rsidRPr="006A785B">
        <w:rPr>
          <w:i/>
          <w:iCs/>
          <w:color w:val="000000"/>
          <w:w w:val="99"/>
          <w:sz w:val="24"/>
          <w:szCs w:val="24"/>
        </w:rPr>
        <w:t xml:space="preserve">also </w:t>
      </w:r>
      <w:r w:rsidR="00694342" w:rsidRPr="006A785B">
        <w:rPr>
          <w:i/>
          <w:iCs/>
          <w:color w:val="000000"/>
          <w:w w:val="99"/>
          <w:sz w:val="24"/>
          <w:szCs w:val="24"/>
        </w:rPr>
        <w:t xml:space="preserve">support </w:t>
      </w:r>
      <w:r w:rsidRPr="006A785B">
        <w:rPr>
          <w:i/>
          <w:iCs/>
          <w:color w:val="000000"/>
          <w:w w:val="99"/>
          <w:sz w:val="24"/>
          <w:szCs w:val="24"/>
        </w:rPr>
        <w:t>a further step</w:t>
      </w:r>
      <w:r w:rsidR="001F2EEC" w:rsidRPr="006A785B">
        <w:rPr>
          <w:i/>
          <w:iCs/>
          <w:color w:val="000000"/>
          <w:w w:val="99"/>
          <w:sz w:val="24"/>
          <w:szCs w:val="24"/>
        </w:rPr>
        <w:t xml:space="preserve"> in furtherance of that goal</w:t>
      </w:r>
      <w:r w:rsidRPr="006A785B">
        <w:rPr>
          <w:i/>
          <w:iCs/>
          <w:color w:val="000000"/>
          <w:w w:val="99"/>
          <w:sz w:val="24"/>
          <w:szCs w:val="24"/>
        </w:rPr>
        <w:t xml:space="preserve">: </w:t>
      </w:r>
      <w:r w:rsidR="00694342" w:rsidRPr="006A785B">
        <w:rPr>
          <w:i/>
          <w:iCs/>
          <w:color w:val="000000"/>
          <w:w w:val="99"/>
          <w:sz w:val="24"/>
          <w:szCs w:val="24"/>
        </w:rPr>
        <w:t xml:space="preserve">returning </w:t>
      </w:r>
      <w:r w:rsidRPr="006A785B">
        <w:rPr>
          <w:i/>
          <w:iCs/>
          <w:color w:val="000000"/>
          <w:w w:val="99"/>
          <w:sz w:val="24"/>
          <w:szCs w:val="24"/>
        </w:rPr>
        <w:t>allowance revenues</w:t>
      </w:r>
      <w:r w:rsidR="00694342" w:rsidRPr="006A785B">
        <w:rPr>
          <w:i/>
          <w:iCs/>
          <w:color w:val="000000"/>
          <w:w w:val="99"/>
          <w:sz w:val="24"/>
          <w:szCs w:val="24"/>
        </w:rPr>
        <w:t xml:space="preserve"> to EDU customers</w:t>
      </w:r>
      <w:r w:rsidR="00A137FA" w:rsidRPr="006A785B">
        <w:rPr>
          <w:i/>
          <w:iCs/>
          <w:color w:val="000000"/>
          <w:w w:val="99"/>
          <w:sz w:val="24"/>
          <w:szCs w:val="24"/>
        </w:rPr>
        <w:t xml:space="preserve"> </w:t>
      </w:r>
      <w:r w:rsidR="00694342" w:rsidRPr="006A785B">
        <w:rPr>
          <w:i/>
          <w:iCs/>
          <w:color w:val="000000"/>
          <w:w w:val="99"/>
          <w:sz w:val="24"/>
          <w:szCs w:val="24"/>
        </w:rPr>
        <w:t>in the form of volumetric rate reductions</w:t>
      </w:r>
      <w:r w:rsidR="00694342" w:rsidRPr="00062B2E">
        <w:rPr>
          <w:color w:val="000000"/>
          <w:w w:val="99"/>
          <w:sz w:val="24"/>
          <w:szCs w:val="24"/>
        </w:rPr>
        <w:t>. The longstanding p</w:t>
      </w:r>
      <w:r w:rsidR="005F06BE">
        <w:rPr>
          <w:color w:val="000000"/>
          <w:w w:val="99"/>
          <w:sz w:val="24"/>
          <w:szCs w:val="24"/>
        </w:rPr>
        <w:t>olicy</w:t>
      </w:r>
      <w:r w:rsidR="00694342" w:rsidRPr="00062B2E">
        <w:rPr>
          <w:color w:val="000000"/>
          <w:w w:val="99"/>
          <w:sz w:val="24"/>
          <w:szCs w:val="24"/>
        </w:rPr>
        <w:t xml:space="preserve"> against such volumetric returns no longer makes sense now that electricity rates in California have risen far beyond the marginal cost of service, including the </w:t>
      </w:r>
      <w:r w:rsidR="00C07605">
        <w:rPr>
          <w:color w:val="000000"/>
          <w:w w:val="99"/>
          <w:sz w:val="24"/>
          <w:szCs w:val="24"/>
        </w:rPr>
        <w:t xml:space="preserve">full </w:t>
      </w:r>
      <w:r w:rsidR="00694342" w:rsidRPr="00062B2E">
        <w:rPr>
          <w:color w:val="000000"/>
          <w:w w:val="99"/>
          <w:sz w:val="24"/>
          <w:szCs w:val="24"/>
        </w:rPr>
        <w:t xml:space="preserve">social cost of carbon. The traditional </w:t>
      </w:r>
      <w:r w:rsidR="00FD3BB7">
        <w:rPr>
          <w:color w:val="000000"/>
          <w:w w:val="99"/>
          <w:sz w:val="24"/>
          <w:szCs w:val="24"/>
        </w:rPr>
        <w:t>goal</w:t>
      </w:r>
      <w:r w:rsidR="00694342" w:rsidRPr="00062B2E">
        <w:rPr>
          <w:color w:val="000000"/>
          <w:w w:val="99"/>
          <w:sz w:val="24"/>
          <w:szCs w:val="24"/>
        </w:rPr>
        <w:t xml:space="preserve"> of promoting </w:t>
      </w:r>
      <w:r w:rsidR="00A137FA">
        <w:rPr>
          <w:color w:val="000000"/>
          <w:w w:val="99"/>
          <w:sz w:val="24"/>
          <w:szCs w:val="24"/>
        </w:rPr>
        <w:t xml:space="preserve">electric </w:t>
      </w:r>
      <w:r w:rsidR="00694342" w:rsidRPr="00062B2E">
        <w:rPr>
          <w:color w:val="000000"/>
          <w:w w:val="99"/>
          <w:sz w:val="24"/>
          <w:szCs w:val="24"/>
        </w:rPr>
        <w:t xml:space="preserve">energy efficiency through high rates has become counterproductive in an era when </w:t>
      </w:r>
      <w:r w:rsidR="00875F5A" w:rsidRPr="00062B2E">
        <w:rPr>
          <w:color w:val="000000"/>
          <w:w w:val="99"/>
          <w:sz w:val="24"/>
          <w:szCs w:val="24"/>
        </w:rPr>
        <w:t>clean electrification</w:t>
      </w:r>
      <w:r w:rsidR="00875F5A" w:rsidRPr="00062B2E" w:rsidDel="00875F5A">
        <w:rPr>
          <w:color w:val="000000"/>
          <w:w w:val="99"/>
          <w:sz w:val="24"/>
          <w:szCs w:val="24"/>
        </w:rPr>
        <w:t xml:space="preserve"> </w:t>
      </w:r>
      <w:r w:rsidR="00875F5A">
        <w:rPr>
          <w:color w:val="000000"/>
          <w:w w:val="99"/>
          <w:sz w:val="24"/>
          <w:szCs w:val="24"/>
        </w:rPr>
        <w:t>is California’s primary strategy to achieve its climate goals</w:t>
      </w:r>
      <w:r w:rsidR="00694342" w:rsidRPr="00062B2E">
        <w:rPr>
          <w:color w:val="000000"/>
          <w:w w:val="99"/>
          <w:sz w:val="24"/>
          <w:szCs w:val="24"/>
        </w:rPr>
        <w:t>.</w:t>
      </w:r>
      <w:r w:rsidR="00F325EF">
        <w:rPr>
          <w:color w:val="000000"/>
          <w:w w:val="99"/>
          <w:sz w:val="24"/>
          <w:szCs w:val="24"/>
        </w:rPr>
        <w:t xml:space="preserve"> We are pleased that the</w:t>
      </w:r>
      <w:r w:rsidR="00A137FA">
        <w:rPr>
          <w:color w:val="000000"/>
          <w:w w:val="99"/>
          <w:sz w:val="24"/>
          <w:szCs w:val="24"/>
        </w:rPr>
        <w:t xml:space="preserve"> </w:t>
      </w:r>
      <w:hyperlink r:id="rId8" w:history="1">
        <w:r w:rsidR="00875F5A">
          <w:rPr>
            <w:rStyle w:val="Hyperlink"/>
            <w:w w:val="99"/>
            <w:sz w:val="24"/>
            <w:szCs w:val="24"/>
          </w:rPr>
          <w:t>CARB s</w:t>
        </w:r>
        <w:r w:rsidR="00F325EF" w:rsidRPr="00A137FA">
          <w:rPr>
            <w:rStyle w:val="Hyperlink"/>
            <w:w w:val="99"/>
            <w:sz w:val="24"/>
            <w:szCs w:val="24"/>
          </w:rPr>
          <w:t xml:space="preserve">taff report </w:t>
        </w:r>
        <w:r w:rsidR="00A137FA" w:rsidRPr="00A137FA">
          <w:rPr>
            <w:rStyle w:val="Hyperlink"/>
            <w:w w:val="99"/>
            <w:sz w:val="24"/>
            <w:szCs w:val="24"/>
          </w:rPr>
          <w:t>released January 20, 2026</w:t>
        </w:r>
      </w:hyperlink>
      <w:r w:rsidR="00A137FA">
        <w:rPr>
          <w:color w:val="000000"/>
          <w:w w:val="99"/>
          <w:sz w:val="24"/>
          <w:szCs w:val="24"/>
        </w:rPr>
        <w:t xml:space="preserve"> </w:t>
      </w:r>
      <w:r w:rsidR="00F325EF">
        <w:rPr>
          <w:color w:val="000000"/>
          <w:w w:val="99"/>
          <w:sz w:val="24"/>
          <w:szCs w:val="24"/>
        </w:rPr>
        <w:t>appears to acknowledge this fact</w:t>
      </w:r>
      <w:r w:rsidR="00A137FA">
        <w:rPr>
          <w:color w:val="000000"/>
          <w:w w:val="99"/>
          <w:sz w:val="24"/>
          <w:szCs w:val="24"/>
        </w:rPr>
        <w:t xml:space="preserve"> on pages 52-53</w:t>
      </w:r>
      <w:r w:rsidR="00F325EF">
        <w:rPr>
          <w:color w:val="000000"/>
          <w:w w:val="99"/>
          <w:sz w:val="24"/>
          <w:szCs w:val="24"/>
        </w:rPr>
        <w:t>.</w:t>
      </w:r>
    </w:p>
    <w:p w14:paraId="6C3598F8" w14:textId="77777777" w:rsidR="00694342" w:rsidRDefault="00694342" w:rsidP="00694342">
      <w:pPr>
        <w:widowControl w:val="0"/>
        <w:spacing w:line="277" w:lineRule="auto"/>
        <w:ind w:right="584"/>
        <w:rPr>
          <w:color w:val="000000"/>
          <w:w w:val="99"/>
          <w:sz w:val="24"/>
          <w:szCs w:val="24"/>
        </w:rPr>
      </w:pPr>
    </w:p>
    <w:p w14:paraId="1A947437" w14:textId="0C3ACBA8" w:rsidR="00E90B46" w:rsidRDefault="00E90B46" w:rsidP="00694342">
      <w:pPr>
        <w:widowControl w:val="0"/>
        <w:spacing w:line="277" w:lineRule="auto"/>
        <w:ind w:right="584"/>
        <w:rPr>
          <w:color w:val="000000"/>
          <w:w w:val="99"/>
          <w:sz w:val="24"/>
          <w:szCs w:val="24"/>
        </w:rPr>
      </w:pPr>
      <w:r>
        <w:rPr>
          <w:color w:val="000000"/>
          <w:w w:val="99"/>
          <w:sz w:val="24"/>
          <w:szCs w:val="24"/>
        </w:rPr>
        <w:t>Faced with</w:t>
      </w:r>
      <w:r w:rsidR="00F8793A">
        <w:rPr>
          <w:color w:val="000000"/>
          <w:w w:val="9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 xml:space="preserve">electric rates that are double the national average, many California families have difficulty paying their bills, even with generous subsidies for low-income households. </w:t>
      </w:r>
      <w:r w:rsidRPr="00E90B46">
        <w:rPr>
          <w:color w:val="000000"/>
          <w:w w:val="99"/>
          <w:sz w:val="24"/>
          <w:szCs w:val="24"/>
        </w:rPr>
        <w:t xml:space="preserve">Environmental and consumer groups highlight another problem: high electric rates discourage </w:t>
      </w:r>
      <w:r w:rsidR="00DD1F4D">
        <w:rPr>
          <w:color w:val="000000"/>
          <w:w w:val="99"/>
          <w:sz w:val="24"/>
          <w:szCs w:val="24"/>
        </w:rPr>
        <w:t xml:space="preserve">customers from </w:t>
      </w:r>
      <w:r w:rsidRPr="00E90B46">
        <w:rPr>
          <w:color w:val="000000"/>
          <w:w w:val="99"/>
          <w:sz w:val="24"/>
          <w:szCs w:val="24"/>
        </w:rPr>
        <w:t>electri</w:t>
      </w:r>
      <w:r w:rsidR="00DD1F4D">
        <w:rPr>
          <w:color w:val="000000"/>
          <w:w w:val="99"/>
          <w:sz w:val="24"/>
          <w:szCs w:val="24"/>
        </w:rPr>
        <w:t xml:space="preserve">fying their </w:t>
      </w:r>
      <w:r w:rsidRPr="00E90B46">
        <w:rPr>
          <w:color w:val="000000"/>
          <w:w w:val="99"/>
          <w:sz w:val="24"/>
          <w:szCs w:val="24"/>
        </w:rPr>
        <w:t xml:space="preserve">home heating and vehicles, thus </w:t>
      </w:r>
      <w:r w:rsidR="00F325EF">
        <w:rPr>
          <w:color w:val="000000"/>
          <w:w w:val="99"/>
          <w:sz w:val="24"/>
          <w:szCs w:val="24"/>
        </w:rPr>
        <w:t>slow</w:t>
      </w:r>
      <w:r w:rsidRPr="00E90B46">
        <w:rPr>
          <w:color w:val="000000"/>
          <w:w w:val="99"/>
          <w:sz w:val="24"/>
          <w:szCs w:val="24"/>
        </w:rPr>
        <w:t xml:space="preserve">ing the state’s climate </w:t>
      </w:r>
      <w:r w:rsidR="00F325EF">
        <w:rPr>
          <w:color w:val="000000"/>
          <w:w w:val="99"/>
          <w:sz w:val="24"/>
          <w:szCs w:val="24"/>
        </w:rPr>
        <w:t>progress</w:t>
      </w:r>
      <w:r w:rsidRPr="00E90B46">
        <w:rPr>
          <w:color w:val="000000"/>
          <w:w w:val="99"/>
          <w:sz w:val="24"/>
          <w:szCs w:val="24"/>
        </w:rPr>
        <w:t xml:space="preserve">. In its Response to Executive Order N-5-24 on February 18, 2025, the </w:t>
      </w:r>
      <w:r>
        <w:rPr>
          <w:color w:val="000000"/>
          <w:w w:val="99"/>
          <w:sz w:val="24"/>
          <w:szCs w:val="24"/>
        </w:rPr>
        <w:t>California Public Utilities Commission (</w:t>
      </w:r>
      <w:r w:rsidRPr="00E90B46">
        <w:rPr>
          <w:color w:val="000000"/>
          <w:w w:val="99"/>
          <w:sz w:val="24"/>
          <w:szCs w:val="24"/>
        </w:rPr>
        <w:t>CPUC</w:t>
      </w:r>
      <w:r>
        <w:rPr>
          <w:color w:val="000000"/>
          <w:w w:val="99"/>
          <w:sz w:val="24"/>
          <w:szCs w:val="24"/>
        </w:rPr>
        <w:t>)</w:t>
      </w:r>
      <w:r w:rsidRPr="00E90B46">
        <w:rPr>
          <w:color w:val="000000"/>
          <w:w w:val="99"/>
          <w:sz w:val="24"/>
          <w:szCs w:val="24"/>
        </w:rPr>
        <w:t xml:space="preserve"> noted, “In addition to creating financial hardship, continued rate inflation will put stress on meeting the state</w:t>
      </w:r>
      <w:r w:rsidR="000F5847">
        <w:rPr>
          <w:color w:val="000000"/>
          <w:w w:val="99"/>
          <w:sz w:val="24"/>
          <w:szCs w:val="24"/>
        </w:rPr>
        <w:t>’</w:t>
      </w:r>
      <w:r w:rsidRPr="00E90B46">
        <w:rPr>
          <w:color w:val="000000"/>
          <w:w w:val="99"/>
          <w:sz w:val="24"/>
          <w:szCs w:val="24"/>
        </w:rPr>
        <w:t xml:space="preserve">s climate goals. Electrifying the transportation, building and industrial sectors are critical decarbonization </w:t>
      </w:r>
      <w:r w:rsidRPr="00E90B46">
        <w:rPr>
          <w:color w:val="000000"/>
          <w:w w:val="99"/>
          <w:sz w:val="24"/>
          <w:szCs w:val="24"/>
        </w:rPr>
        <w:lastRenderedPageBreak/>
        <w:t>strategies that become increasingly difficult with every increase in electricity rates.”</w:t>
      </w:r>
    </w:p>
    <w:p w14:paraId="154DB1AA" w14:textId="77777777" w:rsidR="00E90B46" w:rsidRDefault="00E90B46" w:rsidP="00694342">
      <w:pPr>
        <w:widowControl w:val="0"/>
        <w:spacing w:line="277" w:lineRule="auto"/>
        <w:ind w:right="584"/>
        <w:rPr>
          <w:color w:val="000000"/>
          <w:w w:val="99"/>
          <w:sz w:val="24"/>
          <w:szCs w:val="24"/>
        </w:rPr>
      </w:pPr>
    </w:p>
    <w:p w14:paraId="5D1EF7D6" w14:textId="0B13AFC0" w:rsidR="00694342" w:rsidRDefault="00E90B46" w:rsidP="00694342">
      <w:pPr>
        <w:widowControl w:val="0"/>
        <w:spacing w:line="277" w:lineRule="auto"/>
        <w:ind w:right="584"/>
        <w:rPr>
          <w:color w:val="000000"/>
          <w:w w:val="99"/>
          <w:sz w:val="24"/>
          <w:szCs w:val="24"/>
        </w:rPr>
      </w:pPr>
      <w:r>
        <w:rPr>
          <w:color w:val="000000"/>
          <w:w w:val="99"/>
          <w:sz w:val="24"/>
          <w:szCs w:val="24"/>
        </w:rPr>
        <w:t xml:space="preserve">The magnitude of this problem </w:t>
      </w:r>
      <w:r w:rsidR="00C07605">
        <w:rPr>
          <w:color w:val="000000"/>
          <w:w w:val="99"/>
          <w:sz w:val="24"/>
          <w:szCs w:val="24"/>
        </w:rPr>
        <w:t xml:space="preserve">is surprisingly </w:t>
      </w:r>
      <w:r w:rsidR="00A137FA">
        <w:rPr>
          <w:color w:val="000000"/>
          <w:w w:val="99"/>
          <w:sz w:val="24"/>
          <w:szCs w:val="24"/>
        </w:rPr>
        <w:t>large</w:t>
      </w:r>
      <w:r>
        <w:rPr>
          <w:color w:val="000000"/>
          <w:w w:val="99"/>
          <w:sz w:val="24"/>
          <w:szCs w:val="24"/>
        </w:rPr>
        <w:t xml:space="preserve">. </w:t>
      </w:r>
      <w:hyperlink r:id="rId9" w:history="1">
        <w:r w:rsidR="00F8793A">
          <w:rPr>
            <w:rStyle w:val="Hyperlink"/>
            <w:w w:val="99"/>
            <w:sz w:val="24"/>
            <w:szCs w:val="24"/>
          </w:rPr>
          <w:t>A report</w:t>
        </w:r>
        <w:r w:rsidRPr="00F8793A">
          <w:rPr>
            <w:rStyle w:val="Hyperlink"/>
            <w:w w:val="99"/>
            <w:sz w:val="24"/>
            <w:szCs w:val="24"/>
          </w:rPr>
          <w:t xml:space="preserve"> by University of California economists</w:t>
        </w:r>
      </w:hyperlink>
      <w:r w:rsidRPr="00E90B46">
        <w:rPr>
          <w:color w:val="000000"/>
          <w:w w:val="99"/>
          <w:sz w:val="24"/>
          <w:szCs w:val="24"/>
        </w:rPr>
        <w:t xml:space="preserve"> </w:t>
      </w:r>
      <w:r w:rsidR="00F8793A">
        <w:rPr>
          <w:color w:val="000000"/>
          <w:w w:val="99"/>
          <w:sz w:val="24"/>
          <w:szCs w:val="24"/>
        </w:rPr>
        <w:t xml:space="preserve">in 2022 </w:t>
      </w:r>
      <w:r w:rsidRPr="00E90B46">
        <w:rPr>
          <w:color w:val="000000"/>
          <w:w w:val="99"/>
          <w:sz w:val="24"/>
          <w:szCs w:val="24"/>
        </w:rPr>
        <w:t>show</w:t>
      </w:r>
      <w:r w:rsidR="00F8793A">
        <w:rPr>
          <w:color w:val="000000"/>
          <w:w w:val="99"/>
          <w:sz w:val="24"/>
          <w:szCs w:val="24"/>
        </w:rPr>
        <w:t>ed</w:t>
      </w:r>
      <w:r w:rsidRPr="00E90B46">
        <w:rPr>
          <w:color w:val="000000"/>
          <w:w w:val="99"/>
          <w:sz w:val="24"/>
          <w:szCs w:val="24"/>
        </w:rPr>
        <w:t xml:space="preserve"> that our state’s high rates</w:t>
      </w:r>
      <w:r w:rsidR="00A137FA">
        <w:rPr>
          <w:color w:val="000000"/>
          <w:w w:val="9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 xml:space="preserve">may </w:t>
      </w:r>
      <w:r w:rsidR="00F8793A">
        <w:rPr>
          <w:color w:val="000000"/>
          <w:w w:val="99"/>
          <w:sz w:val="24"/>
          <w:szCs w:val="24"/>
        </w:rPr>
        <w:t xml:space="preserve">have </w:t>
      </w:r>
      <w:r w:rsidRPr="00E90B46">
        <w:rPr>
          <w:color w:val="000000"/>
          <w:w w:val="99"/>
          <w:sz w:val="24"/>
          <w:szCs w:val="24"/>
        </w:rPr>
        <w:t>slow</w:t>
      </w:r>
      <w:r w:rsidR="00F8793A">
        <w:rPr>
          <w:color w:val="000000"/>
          <w:w w:val="99"/>
          <w:sz w:val="24"/>
          <w:szCs w:val="24"/>
        </w:rPr>
        <w:t>ed</w:t>
      </w:r>
      <w:r w:rsidRPr="00E90B46">
        <w:rPr>
          <w:color w:val="000000"/>
          <w:w w:val="99"/>
          <w:sz w:val="24"/>
          <w:szCs w:val="24"/>
        </w:rPr>
        <w:t xml:space="preserve"> the adoption of heat pumps and electric vehicles by as much as a third</w:t>
      </w:r>
      <w:r>
        <w:rPr>
          <w:color w:val="000000"/>
          <w:w w:val="99"/>
          <w:sz w:val="24"/>
          <w:szCs w:val="24"/>
        </w:rPr>
        <w:t>. That estimate was based on 2019 data</w:t>
      </w:r>
      <w:r w:rsidR="001F2EEC">
        <w:rPr>
          <w:color w:val="000000"/>
          <w:w w:val="99"/>
          <w:sz w:val="24"/>
          <w:szCs w:val="24"/>
        </w:rPr>
        <w:t>. S</w:t>
      </w:r>
      <w:r w:rsidR="00A137FA">
        <w:rPr>
          <w:color w:val="000000"/>
          <w:w w:val="99"/>
          <w:sz w:val="24"/>
          <w:szCs w:val="24"/>
        </w:rPr>
        <w:t>ince then rates have risen dramatically</w:t>
      </w:r>
      <w:r w:rsidR="001F2EEC">
        <w:rPr>
          <w:color w:val="000000"/>
          <w:w w:val="99"/>
          <w:sz w:val="24"/>
          <w:szCs w:val="24"/>
        </w:rPr>
        <w:t>, no doubt compounding the problem</w:t>
      </w:r>
      <w:r w:rsidR="00A137FA">
        <w:rPr>
          <w:color w:val="000000"/>
          <w:w w:val="99"/>
          <w:sz w:val="24"/>
          <w:szCs w:val="24"/>
        </w:rPr>
        <w:t>.</w:t>
      </w:r>
    </w:p>
    <w:p w14:paraId="66505168" w14:textId="77777777" w:rsidR="00CC4DE1" w:rsidRDefault="00CC4DE1" w:rsidP="00694342">
      <w:pPr>
        <w:widowControl w:val="0"/>
        <w:spacing w:line="277" w:lineRule="auto"/>
        <w:ind w:right="584"/>
        <w:rPr>
          <w:color w:val="000000"/>
          <w:w w:val="99"/>
          <w:sz w:val="24"/>
          <w:szCs w:val="24"/>
        </w:rPr>
      </w:pPr>
    </w:p>
    <w:p w14:paraId="1C95AA4A" w14:textId="4F0FD9F2" w:rsidR="00CC4DE1" w:rsidRDefault="00CC4DE1" w:rsidP="00CC4DE1">
      <w:pPr>
        <w:widowControl w:val="0"/>
        <w:spacing w:line="277" w:lineRule="auto"/>
        <w:ind w:right="584"/>
        <w:rPr>
          <w:color w:val="000000"/>
          <w:w w:val="99"/>
          <w:sz w:val="24"/>
          <w:szCs w:val="24"/>
        </w:rPr>
      </w:pPr>
      <w:r>
        <w:rPr>
          <w:color w:val="000000"/>
          <w:w w:val="99"/>
          <w:sz w:val="24"/>
          <w:szCs w:val="24"/>
        </w:rPr>
        <w:t xml:space="preserve">A </w:t>
      </w:r>
      <w:hyperlink r:id="rId10" w:history="1">
        <w:r w:rsidRPr="00F8793A">
          <w:rPr>
            <w:rStyle w:val="Hyperlink"/>
            <w:w w:val="99"/>
            <w:sz w:val="24"/>
            <w:szCs w:val="24"/>
          </w:rPr>
          <w:t>study issued in 2022</w:t>
        </w:r>
      </w:hyperlink>
      <w:r>
        <w:rPr>
          <w:color w:val="000000"/>
          <w:w w:val="99"/>
          <w:sz w:val="24"/>
          <w:szCs w:val="24"/>
        </w:rPr>
        <w:t xml:space="preserve"> by the Energy Institute at the University of California’s Haas School </w:t>
      </w:r>
      <w:r w:rsidR="00FD3BB7">
        <w:rPr>
          <w:color w:val="000000"/>
          <w:w w:val="99"/>
          <w:sz w:val="24"/>
          <w:szCs w:val="24"/>
        </w:rPr>
        <w:t>concluded</w:t>
      </w:r>
      <w:r w:rsidR="000F5847">
        <w:rPr>
          <w:color w:val="000000"/>
          <w:w w:val="9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 xml:space="preserve">that a 10% change in electric rates could induce a 24% swing in demand for electrical services from residential customers. The author </w:t>
      </w:r>
      <w:r w:rsidR="00FD3BB7">
        <w:rPr>
          <w:color w:val="000000"/>
          <w:w w:val="99"/>
          <w:sz w:val="24"/>
          <w:szCs w:val="24"/>
        </w:rPr>
        <w:t>declare</w:t>
      </w:r>
      <w:r>
        <w:rPr>
          <w:color w:val="000000"/>
          <w:w w:val="99"/>
          <w:sz w:val="24"/>
          <w:szCs w:val="24"/>
        </w:rPr>
        <w:t xml:space="preserve">d, </w:t>
      </w:r>
      <w:r w:rsidRPr="00CC4DE1">
        <w:rPr>
          <w:color w:val="000000"/>
          <w:w w:val="99"/>
          <w:sz w:val="24"/>
          <w:szCs w:val="24"/>
        </w:rPr>
        <w:t>“My findings highlight the importance of getting electricity prices right and suggest that retail electricity prices might play a more significant role than previously thought in determining the pace of energy transitions to cleaner technologies.”</w:t>
      </w:r>
    </w:p>
    <w:p w14:paraId="239F5B9D" w14:textId="77777777" w:rsidR="00CC4DE1" w:rsidRDefault="00CC4DE1" w:rsidP="00CC4DE1">
      <w:pPr>
        <w:widowControl w:val="0"/>
        <w:spacing w:line="277" w:lineRule="auto"/>
        <w:ind w:right="584"/>
        <w:rPr>
          <w:color w:val="000000"/>
          <w:w w:val="99"/>
          <w:sz w:val="24"/>
          <w:szCs w:val="24"/>
        </w:rPr>
      </w:pPr>
    </w:p>
    <w:p w14:paraId="5F16FC8C" w14:textId="0819F881" w:rsidR="00DD1F4D" w:rsidRDefault="00F8793A" w:rsidP="00DD1F4D">
      <w:pPr>
        <w:widowControl w:val="0"/>
        <w:spacing w:line="277" w:lineRule="auto"/>
        <w:ind w:right="584"/>
        <w:rPr>
          <w:color w:val="000000"/>
          <w:w w:val="99"/>
          <w:sz w:val="24"/>
          <w:szCs w:val="24"/>
        </w:rPr>
      </w:pPr>
      <w:r>
        <w:rPr>
          <w:color w:val="000000"/>
          <w:w w:val="99"/>
          <w:sz w:val="24"/>
          <w:szCs w:val="24"/>
        </w:rPr>
        <w:t>Many economists, policy analysts, and regulators have argued that convert</w:t>
      </w:r>
      <w:r w:rsidR="00CE707D">
        <w:rPr>
          <w:color w:val="000000"/>
          <w:w w:val="99"/>
          <w:sz w:val="24"/>
          <w:szCs w:val="24"/>
        </w:rPr>
        <w:t>ing</w:t>
      </w:r>
      <w:r>
        <w:rPr>
          <w:color w:val="000000"/>
          <w:w w:val="99"/>
          <w:sz w:val="24"/>
          <w:szCs w:val="24"/>
        </w:rPr>
        <w:t xml:space="preserve"> </w:t>
      </w:r>
      <w:r w:rsidR="00C07605">
        <w:rPr>
          <w:color w:val="000000"/>
          <w:w w:val="99"/>
          <w:sz w:val="24"/>
          <w:szCs w:val="24"/>
        </w:rPr>
        <w:t>EDU</w:t>
      </w:r>
      <w:r>
        <w:rPr>
          <w:color w:val="000000"/>
          <w:w w:val="99"/>
          <w:sz w:val="24"/>
          <w:szCs w:val="24"/>
        </w:rPr>
        <w:t xml:space="preserve"> Climate Credit</w:t>
      </w:r>
      <w:r w:rsidR="00C07605">
        <w:rPr>
          <w:color w:val="000000"/>
          <w:w w:val="99"/>
          <w:sz w:val="24"/>
          <w:szCs w:val="24"/>
        </w:rPr>
        <w:t>s</w:t>
      </w:r>
      <w:r>
        <w:rPr>
          <w:color w:val="000000"/>
          <w:w w:val="99"/>
          <w:sz w:val="24"/>
          <w:szCs w:val="24"/>
        </w:rPr>
        <w:t xml:space="preserve"> into</w:t>
      </w:r>
      <w:r w:rsidR="00DD1F4D">
        <w:rPr>
          <w:color w:val="000000"/>
          <w:w w:val="99"/>
          <w:sz w:val="24"/>
          <w:szCs w:val="24"/>
        </w:rPr>
        <w:t xml:space="preserve"> a reduction in volumetric rates</w:t>
      </w:r>
      <w:r w:rsidR="00CE707D">
        <w:rPr>
          <w:color w:val="000000"/>
          <w:w w:val="99"/>
          <w:sz w:val="24"/>
          <w:szCs w:val="24"/>
        </w:rPr>
        <w:t xml:space="preserve"> would boost the cause of clean electrification</w:t>
      </w:r>
      <w:r w:rsidR="00DD1F4D">
        <w:rPr>
          <w:color w:val="000000"/>
          <w:w w:val="99"/>
          <w:sz w:val="24"/>
          <w:szCs w:val="24"/>
        </w:rPr>
        <w:t xml:space="preserve">. As the CPUC noted in its February 2025 report to the Governor, this </w:t>
      </w:r>
      <w:r w:rsidR="00F325EF">
        <w:rPr>
          <w:color w:val="000000"/>
          <w:w w:val="99"/>
          <w:sz w:val="24"/>
          <w:szCs w:val="24"/>
        </w:rPr>
        <w:t>simple</w:t>
      </w:r>
      <w:r w:rsidR="009F27EB">
        <w:rPr>
          <w:color w:val="000000"/>
          <w:w w:val="99"/>
          <w:sz w:val="24"/>
          <w:szCs w:val="24"/>
        </w:rPr>
        <w:t>, modest</w:t>
      </w:r>
      <w:r w:rsidR="00F325EF">
        <w:rPr>
          <w:color w:val="000000"/>
          <w:w w:val="99"/>
          <w:sz w:val="24"/>
          <w:szCs w:val="24"/>
        </w:rPr>
        <w:t xml:space="preserve"> change</w:t>
      </w:r>
      <w:r w:rsidR="00DD1F4D">
        <w:rPr>
          <w:color w:val="000000"/>
          <w:w w:val="99"/>
          <w:sz w:val="24"/>
          <w:szCs w:val="24"/>
        </w:rPr>
        <w:t xml:space="preserve"> “</w:t>
      </w:r>
      <w:r w:rsidRPr="00F8793A">
        <w:rPr>
          <w:color w:val="000000"/>
          <w:w w:val="99"/>
          <w:sz w:val="24"/>
          <w:szCs w:val="24"/>
        </w:rPr>
        <w:t>could potentially make electrification more appealing to ratepayers. It would also reduce month-to-month bill volatility, easing ups and downs of utility bills for many Californians.”</w:t>
      </w:r>
      <w:r w:rsidR="00DD1F4D">
        <w:rPr>
          <w:color w:val="000000"/>
          <w:w w:val="99"/>
          <w:sz w:val="24"/>
          <w:szCs w:val="24"/>
        </w:rPr>
        <w:t xml:space="preserve"> Its 2024 annual report, CalEPA’s Independent Emissions Market Advisory Committee similarly declared</w:t>
      </w:r>
      <w:r w:rsidR="00DD1F4D" w:rsidRPr="00DD1F4D">
        <w:rPr>
          <w:color w:val="000000"/>
          <w:w w:val="99"/>
          <w:sz w:val="24"/>
          <w:szCs w:val="24"/>
        </w:rPr>
        <w:t>, “Restructuring the climate credit to reduce volumetric electricity rates would make electrification a more affordable choice for investments by households and businesses.”</w:t>
      </w:r>
    </w:p>
    <w:p w14:paraId="498E6D19" w14:textId="77777777" w:rsidR="00DD1F4D" w:rsidRDefault="00DD1F4D" w:rsidP="00DD1F4D">
      <w:pPr>
        <w:widowControl w:val="0"/>
        <w:spacing w:line="277" w:lineRule="auto"/>
        <w:ind w:right="584"/>
        <w:rPr>
          <w:color w:val="000000"/>
          <w:w w:val="99"/>
          <w:sz w:val="24"/>
          <w:szCs w:val="24"/>
        </w:rPr>
      </w:pPr>
    </w:p>
    <w:p w14:paraId="467763D0" w14:textId="4BA7EF78" w:rsidR="00EF6E89" w:rsidRDefault="00EF6E89" w:rsidP="00DD1F4D">
      <w:pPr>
        <w:widowControl w:val="0"/>
        <w:spacing w:line="277" w:lineRule="auto"/>
        <w:ind w:right="584"/>
        <w:rPr>
          <w:color w:val="000000"/>
          <w:w w:val="99"/>
          <w:sz w:val="24"/>
          <w:szCs w:val="24"/>
        </w:rPr>
      </w:pPr>
      <w:r>
        <w:rPr>
          <w:color w:val="000000"/>
          <w:w w:val="99"/>
          <w:sz w:val="24"/>
          <w:szCs w:val="24"/>
        </w:rPr>
        <w:t>This step</w:t>
      </w:r>
      <w:r w:rsidR="00DD1F4D">
        <w:rPr>
          <w:color w:val="000000"/>
          <w:w w:val="99"/>
          <w:sz w:val="24"/>
          <w:szCs w:val="24"/>
        </w:rPr>
        <w:t xml:space="preserve"> will not cure California’s cripplingly high rates</w:t>
      </w:r>
      <w:r w:rsidR="00155901">
        <w:rPr>
          <w:color w:val="000000"/>
          <w:w w:val="99"/>
          <w:sz w:val="24"/>
          <w:szCs w:val="24"/>
        </w:rPr>
        <w:t xml:space="preserve"> all by itself</w:t>
      </w:r>
      <w:r w:rsidR="0087771F">
        <w:rPr>
          <w:color w:val="000000"/>
          <w:w w:val="99"/>
          <w:sz w:val="24"/>
          <w:szCs w:val="24"/>
        </w:rPr>
        <w:t>, b</w:t>
      </w:r>
      <w:r w:rsidR="00DD1F4D">
        <w:rPr>
          <w:color w:val="000000"/>
          <w:w w:val="99"/>
          <w:sz w:val="24"/>
          <w:szCs w:val="24"/>
        </w:rPr>
        <w:t>ut it would be an easy start to a longer</w:t>
      </w:r>
      <w:r w:rsidR="00F325EF">
        <w:rPr>
          <w:color w:val="000000"/>
          <w:w w:val="99"/>
          <w:sz w:val="24"/>
          <w:szCs w:val="24"/>
        </w:rPr>
        <w:t>-</w:t>
      </w:r>
      <w:r w:rsidR="00DD1F4D">
        <w:rPr>
          <w:color w:val="000000"/>
          <w:w w:val="99"/>
          <w:sz w:val="24"/>
          <w:szCs w:val="24"/>
        </w:rPr>
        <w:t>term program of reform</w:t>
      </w:r>
      <w:r>
        <w:rPr>
          <w:color w:val="000000"/>
          <w:w w:val="99"/>
          <w:sz w:val="24"/>
          <w:szCs w:val="24"/>
        </w:rPr>
        <w:t xml:space="preserve"> driven by the Legislature</w:t>
      </w:r>
      <w:r w:rsidR="0087771F">
        <w:rPr>
          <w:color w:val="000000"/>
          <w:w w:val="99"/>
          <w:sz w:val="24"/>
          <w:szCs w:val="24"/>
        </w:rPr>
        <w:t xml:space="preserve">. </w:t>
      </w:r>
      <w:r>
        <w:rPr>
          <w:color w:val="000000"/>
          <w:w w:val="99"/>
          <w:sz w:val="24"/>
          <w:szCs w:val="24"/>
        </w:rPr>
        <w:t>We therefore</w:t>
      </w:r>
      <w:r w:rsidR="00F325EF">
        <w:rPr>
          <w:color w:val="000000"/>
          <w:w w:val="99"/>
          <w:sz w:val="24"/>
          <w:szCs w:val="24"/>
        </w:rPr>
        <w:t xml:space="preserve"> </w:t>
      </w:r>
      <w:r w:rsidR="0087771F">
        <w:rPr>
          <w:color w:val="000000"/>
          <w:w w:val="99"/>
          <w:sz w:val="24"/>
          <w:szCs w:val="24"/>
        </w:rPr>
        <w:t>applaud CARB’s proposal to</w:t>
      </w:r>
      <w:r w:rsidR="00F325EF">
        <w:rPr>
          <w:color w:val="000000"/>
          <w:w w:val="99"/>
          <w:sz w:val="24"/>
          <w:szCs w:val="24"/>
        </w:rPr>
        <w:t xml:space="preserve"> lift the prohibition on EDUs returning revenue from emissions allowances to customers in the form of lower volumetric rates.</w:t>
      </w:r>
      <w:r w:rsidR="0087771F">
        <w:rPr>
          <w:color w:val="000000"/>
          <w:w w:val="99"/>
          <w:sz w:val="24"/>
          <w:szCs w:val="24"/>
        </w:rPr>
        <w:t xml:space="preserve"> </w:t>
      </w:r>
    </w:p>
    <w:p w14:paraId="5A271082" w14:textId="77777777" w:rsidR="00EF6E89" w:rsidRDefault="00EF6E89" w:rsidP="00DD1F4D">
      <w:pPr>
        <w:widowControl w:val="0"/>
        <w:spacing w:line="277" w:lineRule="auto"/>
        <w:ind w:right="584"/>
        <w:rPr>
          <w:color w:val="000000"/>
          <w:w w:val="99"/>
          <w:sz w:val="24"/>
          <w:szCs w:val="24"/>
        </w:rPr>
      </w:pPr>
    </w:p>
    <w:p w14:paraId="1EAFB7F4" w14:textId="42A3DF5A" w:rsidR="00DD1F4D" w:rsidRPr="00DD1F4D" w:rsidRDefault="0087771F" w:rsidP="00DD1F4D">
      <w:pPr>
        <w:widowControl w:val="0"/>
        <w:spacing w:line="277" w:lineRule="auto"/>
        <w:ind w:right="584"/>
        <w:rPr>
          <w:color w:val="000000"/>
          <w:w w:val="99"/>
          <w:sz w:val="24"/>
          <w:szCs w:val="24"/>
        </w:rPr>
      </w:pPr>
      <w:r>
        <w:rPr>
          <w:color w:val="000000"/>
          <w:w w:val="99"/>
          <w:sz w:val="24"/>
          <w:szCs w:val="24"/>
        </w:rPr>
        <w:t>In the interests of promoting statutory goals for emissions reductions and affordability,</w:t>
      </w:r>
      <w:r w:rsidR="00EF6E89">
        <w:rPr>
          <w:color w:val="000000"/>
          <w:w w:val="99"/>
          <w:sz w:val="24"/>
          <w:szCs w:val="24"/>
        </w:rPr>
        <w:t xml:space="preserve"> however,</w:t>
      </w:r>
      <w:r>
        <w:rPr>
          <w:color w:val="000000"/>
          <w:w w:val="99"/>
          <w:sz w:val="24"/>
          <w:szCs w:val="24"/>
        </w:rPr>
        <w:t xml:space="preserve"> </w:t>
      </w:r>
      <w:r w:rsidRPr="00C34992">
        <w:rPr>
          <w:i/>
          <w:iCs/>
          <w:color w:val="000000"/>
          <w:w w:val="99"/>
          <w:sz w:val="24"/>
          <w:szCs w:val="24"/>
        </w:rPr>
        <w:t xml:space="preserve">we </w:t>
      </w:r>
      <w:r w:rsidR="00DD52A8" w:rsidRPr="00C34992">
        <w:rPr>
          <w:i/>
          <w:iCs/>
          <w:color w:val="000000"/>
          <w:w w:val="99"/>
          <w:sz w:val="24"/>
          <w:szCs w:val="24"/>
        </w:rPr>
        <w:t>strongly</w:t>
      </w:r>
      <w:r w:rsidRPr="00C34992">
        <w:rPr>
          <w:i/>
          <w:iCs/>
          <w:color w:val="000000"/>
          <w:w w:val="99"/>
          <w:sz w:val="24"/>
          <w:szCs w:val="24"/>
        </w:rPr>
        <w:t xml:space="preserve"> urge CARB to </w:t>
      </w:r>
      <w:r w:rsidR="00ED4C23" w:rsidRPr="00C34992">
        <w:rPr>
          <w:i/>
          <w:iCs/>
          <w:color w:val="000000"/>
          <w:w w:val="99"/>
          <w:sz w:val="24"/>
          <w:szCs w:val="24"/>
        </w:rPr>
        <w:t>accelerat</w:t>
      </w:r>
      <w:r w:rsidR="00DD52A8" w:rsidRPr="00C34992">
        <w:rPr>
          <w:i/>
          <w:iCs/>
          <w:color w:val="000000"/>
          <w:w w:val="99"/>
          <w:sz w:val="24"/>
          <w:szCs w:val="24"/>
        </w:rPr>
        <w:t>e</w:t>
      </w:r>
      <w:r w:rsidR="00ED4C23" w:rsidRPr="00C34992">
        <w:rPr>
          <w:i/>
          <w:iCs/>
          <w:color w:val="000000"/>
          <w:w w:val="99"/>
          <w:sz w:val="24"/>
          <w:szCs w:val="24"/>
        </w:rPr>
        <w:t xml:space="preserve"> its timetable for transitioning natural gas utility allowances to the EDUs</w:t>
      </w:r>
      <w:r w:rsidR="00ED4C23">
        <w:rPr>
          <w:color w:val="000000"/>
          <w:w w:val="99"/>
          <w:sz w:val="24"/>
          <w:szCs w:val="24"/>
        </w:rPr>
        <w:t xml:space="preserve">. </w:t>
      </w:r>
      <w:r w:rsidR="00EF6E89">
        <w:rPr>
          <w:color w:val="000000"/>
          <w:w w:val="99"/>
          <w:sz w:val="24"/>
          <w:szCs w:val="24"/>
        </w:rPr>
        <w:t xml:space="preserve">Significant </w:t>
      </w:r>
      <w:r w:rsidR="00ED4C23">
        <w:rPr>
          <w:color w:val="000000"/>
          <w:w w:val="99"/>
          <w:sz w:val="24"/>
          <w:szCs w:val="24"/>
        </w:rPr>
        <w:t xml:space="preserve">electric </w:t>
      </w:r>
      <w:r w:rsidR="00EF6E89">
        <w:rPr>
          <w:color w:val="000000"/>
          <w:w w:val="99"/>
          <w:sz w:val="24"/>
          <w:szCs w:val="24"/>
        </w:rPr>
        <w:t>rate reductions are a highly progressive way to share revenue from the cap-and-invest program with California households and a highly effective way to enlist them in climate progress through clean electrification.</w:t>
      </w:r>
    </w:p>
    <w:p w14:paraId="5E7492C1" w14:textId="0FE36BF1" w:rsidR="00CC4DE1" w:rsidRPr="00CC4DE1" w:rsidRDefault="00CC4DE1" w:rsidP="00CC4DE1">
      <w:pPr>
        <w:widowControl w:val="0"/>
        <w:spacing w:line="277" w:lineRule="auto"/>
        <w:ind w:right="584"/>
        <w:rPr>
          <w:color w:val="000000"/>
          <w:w w:val="99"/>
          <w:sz w:val="24"/>
          <w:szCs w:val="24"/>
        </w:rPr>
      </w:pPr>
    </w:p>
    <w:p w14:paraId="08AC88D8" w14:textId="607EC1C5" w:rsidR="00CC4DE1" w:rsidRDefault="00FD3BB7" w:rsidP="00694342">
      <w:pPr>
        <w:widowControl w:val="0"/>
        <w:spacing w:line="277" w:lineRule="auto"/>
        <w:ind w:right="584"/>
        <w:rPr>
          <w:color w:val="000000"/>
          <w:w w:val="99"/>
          <w:sz w:val="24"/>
          <w:szCs w:val="24"/>
        </w:rPr>
      </w:pPr>
      <w:hyperlink r:id="rId11" w:history="1">
        <w:r w:rsidR="00F325EF" w:rsidRPr="00FD3BB7">
          <w:rPr>
            <w:rStyle w:val="Hyperlink"/>
            <w:i/>
            <w:iCs/>
            <w:w w:val="99"/>
            <w:sz w:val="23"/>
            <w:szCs w:val="23"/>
          </w:rPr>
          <w:t>Clima</w:t>
        </w:r>
        <w:r w:rsidR="00F325EF" w:rsidRPr="00FD3BB7">
          <w:rPr>
            <w:rStyle w:val="Hyperlink"/>
            <w:i/>
            <w:iCs/>
            <w:spacing w:val="-2"/>
            <w:w w:val="99"/>
            <w:sz w:val="23"/>
            <w:szCs w:val="23"/>
          </w:rPr>
          <w:t>t</w:t>
        </w:r>
        <w:r w:rsidR="00F325EF" w:rsidRPr="00FD3BB7">
          <w:rPr>
            <w:rStyle w:val="Hyperlink"/>
            <w:i/>
            <w:iCs/>
            <w:w w:val="99"/>
            <w:sz w:val="23"/>
            <w:szCs w:val="23"/>
          </w:rPr>
          <w:t>e</w:t>
        </w:r>
        <w:r w:rsidR="00F325EF" w:rsidRPr="00FD3BB7">
          <w:rPr>
            <w:rStyle w:val="Hyperlink"/>
            <w:i/>
            <w:iCs/>
            <w:sz w:val="23"/>
            <w:szCs w:val="23"/>
          </w:rPr>
          <w:t xml:space="preserve"> </w:t>
        </w:r>
        <w:r w:rsidR="00F325EF" w:rsidRPr="00FD3BB7">
          <w:rPr>
            <w:rStyle w:val="Hyperlink"/>
            <w:i/>
            <w:iCs/>
            <w:spacing w:val="-2"/>
            <w:w w:val="99"/>
            <w:sz w:val="23"/>
            <w:szCs w:val="23"/>
          </w:rPr>
          <w:t>F</w:t>
        </w:r>
        <w:r w:rsidR="00F325EF" w:rsidRPr="00FD3BB7">
          <w:rPr>
            <w:rStyle w:val="Hyperlink"/>
            <w:i/>
            <w:iCs/>
            <w:w w:val="99"/>
            <w:sz w:val="23"/>
            <w:szCs w:val="23"/>
          </w:rPr>
          <w:t>uture</w:t>
        </w:r>
        <w:r w:rsidR="00F325EF" w:rsidRPr="00FD3BB7">
          <w:rPr>
            <w:rStyle w:val="Hyperlink"/>
            <w:i/>
            <w:iCs/>
            <w:sz w:val="23"/>
            <w:szCs w:val="23"/>
          </w:rPr>
          <w:t xml:space="preserve"> </w:t>
        </w:r>
        <w:r w:rsidR="00F325EF" w:rsidRPr="00FD3BB7">
          <w:rPr>
            <w:rStyle w:val="Hyperlink"/>
            <w:i/>
            <w:iCs/>
            <w:w w:val="99"/>
            <w:sz w:val="23"/>
            <w:szCs w:val="23"/>
          </w:rPr>
          <w:t>Cali</w:t>
        </w:r>
        <w:r w:rsidR="00F325EF" w:rsidRPr="00FD3BB7">
          <w:rPr>
            <w:rStyle w:val="Hyperlink"/>
            <w:i/>
            <w:iCs/>
            <w:spacing w:val="-2"/>
            <w:w w:val="99"/>
            <w:sz w:val="23"/>
            <w:szCs w:val="23"/>
          </w:rPr>
          <w:t>f</w:t>
        </w:r>
        <w:r w:rsidR="00F325EF" w:rsidRPr="00FD3BB7">
          <w:rPr>
            <w:rStyle w:val="Hyperlink"/>
            <w:i/>
            <w:iCs/>
            <w:w w:val="99"/>
            <w:sz w:val="23"/>
            <w:szCs w:val="23"/>
          </w:rPr>
          <w:t>ornia</w:t>
        </w:r>
      </w:hyperlink>
      <w:r w:rsidR="00F325EF">
        <w:rPr>
          <w:i/>
          <w:iCs/>
          <w:color w:val="000000"/>
          <w:sz w:val="23"/>
          <w:szCs w:val="23"/>
        </w:rPr>
        <w:t xml:space="preserve"> </w:t>
      </w:r>
      <w:r w:rsidR="00F325EF">
        <w:rPr>
          <w:i/>
          <w:iCs/>
          <w:color w:val="000000"/>
          <w:w w:val="99"/>
          <w:sz w:val="23"/>
          <w:szCs w:val="23"/>
        </w:rPr>
        <w:t>is</w:t>
      </w:r>
      <w:r w:rsidR="00F325EF">
        <w:rPr>
          <w:i/>
          <w:iCs/>
          <w:color w:val="000000"/>
          <w:sz w:val="23"/>
          <w:szCs w:val="23"/>
        </w:rPr>
        <w:t xml:space="preserve"> </w:t>
      </w:r>
      <w:r w:rsidR="00F325EF">
        <w:rPr>
          <w:i/>
          <w:iCs/>
          <w:color w:val="000000"/>
          <w:w w:val="99"/>
          <w:sz w:val="23"/>
          <w:szCs w:val="23"/>
        </w:rPr>
        <w:t>a</w:t>
      </w:r>
      <w:r w:rsidR="00F325EF">
        <w:rPr>
          <w:i/>
          <w:iCs/>
          <w:color w:val="000000"/>
          <w:sz w:val="23"/>
          <w:szCs w:val="23"/>
        </w:rPr>
        <w:t xml:space="preserve"> </w:t>
      </w:r>
      <w:r w:rsidR="00F325EF">
        <w:rPr>
          <w:i/>
          <w:iCs/>
          <w:color w:val="000000"/>
          <w:w w:val="99"/>
          <w:sz w:val="23"/>
          <w:szCs w:val="23"/>
        </w:rPr>
        <w:t>nonproﬁt,</w:t>
      </w:r>
      <w:r w:rsidR="00F325EF">
        <w:rPr>
          <w:i/>
          <w:iCs/>
          <w:color w:val="000000"/>
          <w:sz w:val="23"/>
          <w:szCs w:val="23"/>
        </w:rPr>
        <w:t xml:space="preserve"> </w:t>
      </w:r>
      <w:r w:rsidR="00F325EF">
        <w:rPr>
          <w:i/>
          <w:iCs/>
          <w:color w:val="000000"/>
          <w:spacing w:val="1"/>
          <w:w w:val="99"/>
          <w:sz w:val="23"/>
          <w:szCs w:val="23"/>
        </w:rPr>
        <w:t>nonpar</w:t>
      </w:r>
      <w:r w:rsidR="00F325EF">
        <w:rPr>
          <w:i/>
          <w:iCs/>
          <w:color w:val="000000"/>
          <w:spacing w:val="1"/>
          <w:w w:val="83"/>
          <w:sz w:val="23"/>
          <w:szCs w:val="23"/>
        </w:rPr>
        <w:t>t</w:t>
      </w:r>
      <w:r w:rsidR="00F325EF">
        <w:rPr>
          <w:i/>
          <w:iCs/>
          <w:color w:val="000000"/>
          <w:spacing w:val="1"/>
          <w:sz w:val="23"/>
          <w:szCs w:val="23"/>
        </w:rPr>
        <w:t>i</w:t>
      </w:r>
      <w:r w:rsidR="00F325EF">
        <w:rPr>
          <w:i/>
          <w:iCs/>
          <w:color w:val="000000"/>
          <w:spacing w:val="1"/>
          <w:w w:val="99"/>
          <w:sz w:val="23"/>
          <w:szCs w:val="23"/>
        </w:rPr>
        <w:t>san</w:t>
      </w:r>
      <w:r w:rsidR="00F325EF">
        <w:rPr>
          <w:i/>
          <w:iCs/>
          <w:color w:val="000000"/>
          <w:sz w:val="23"/>
          <w:szCs w:val="23"/>
        </w:rPr>
        <w:t xml:space="preserve"> </w:t>
      </w:r>
      <w:r w:rsidR="00F325EF">
        <w:rPr>
          <w:i/>
          <w:iCs/>
          <w:color w:val="000000"/>
          <w:w w:val="99"/>
          <w:sz w:val="23"/>
          <w:szCs w:val="23"/>
        </w:rPr>
        <w:t>group</w:t>
      </w:r>
      <w:r w:rsidR="00F325EF">
        <w:rPr>
          <w:i/>
          <w:iCs/>
          <w:color w:val="000000"/>
          <w:sz w:val="23"/>
          <w:szCs w:val="23"/>
        </w:rPr>
        <w:t xml:space="preserve"> </w:t>
      </w:r>
      <w:r w:rsidR="00F325EF">
        <w:rPr>
          <w:i/>
          <w:iCs/>
          <w:color w:val="000000"/>
          <w:w w:val="99"/>
          <w:sz w:val="23"/>
          <w:szCs w:val="23"/>
        </w:rPr>
        <w:t>of</w:t>
      </w:r>
      <w:r w:rsidR="00F325EF">
        <w:rPr>
          <w:i/>
          <w:iCs/>
          <w:color w:val="000000"/>
          <w:sz w:val="23"/>
          <w:szCs w:val="23"/>
        </w:rPr>
        <w:t xml:space="preserve"> </w:t>
      </w:r>
      <w:r w:rsidR="00F325EF">
        <w:rPr>
          <w:i/>
          <w:iCs/>
          <w:color w:val="000000"/>
          <w:w w:val="99"/>
          <w:sz w:val="23"/>
          <w:szCs w:val="23"/>
        </w:rPr>
        <w:t>volu</w:t>
      </w:r>
      <w:r w:rsidR="00F325EF">
        <w:rPr>
          <w:i/>
          <w:iCs/>
          <w:color w:val="000000"/>
          <w:spacing w:val="-2"/>
          <w:w w:val="99"/>
          <w:sz w:val="23"/>
          <w:szCs w:val="23"/>
        </w:rPr>
        <w:t>nt</w:t>
      </w:r>
      <w:r w:rsidR="00F325EF">
        <w:rPr>
          <w:i/>
          <w:iCs/>
          <w:color w:val="000000"/>
          <w:w w:val="99"/>
          <w:sz w:val="23"/>
          <w:szCs w:val="23"/>
        </w:rPr>
        <w:t>eer</w:t>
      </w:r>
      <w:r w:rsidR="00F325EF">
        <w:rPr>
          <w:i/>
          <w:iCs/>
          <w:color w:val="000000"/>
          <w:sz w:val="23"/>
          <w:szCs w:val="23"/>
        </w:rPr>
        <w:t xml:space="preserve"> </w:t>
      </w:r>
      <w:r w:rsidR="00F325EF">
        <w:rPr>
          <w:i/>
          <w:iCs/>
          <w:color w:val="000000"/>
          <w:w w:val="99"/>
          <w:sz w:val="23"/>
          <w:szCs w:val="23"/>
        </w:rPr>
        <w:t>clima</w:t>
      </w:r>
      <w:r w:rsidR="00F325EF">
        <w:rPr>
          <w:i/>
          <w:iCs/>
          <w:color w:val="000000"/>
          <w:spacing w:val="-2"/>
          <w:w w:val="99"/>
          <w:sz w:val="23"/>
          <w:szCs w:val="23"/>
        </w:rPr>
        <w:t>t</w:t>
      </w:r>
      <w:r w:rsidR="00F325EF">
        <w:rPr>
          <w:i/>
          <w:iCs/>
          <w:color w:val="000000"/>
          <w:w w:val="99"/>
          <w:sz w:val="23"/>
          <w:szCs w:val="23"/>
        </w:rPr>
        <w:t>e</w:t>
      </w:r>
      <w:r w:rsidR="00F325EF">
        <w:rPr>
          <w:i/>
          <w:iCs/>
          <w:color w:val="000000"/>
          <w:sz w:val="23"/>
          <w:szCs w:val="23"/>
        </w:rPr>
        <w:t xml:space="preserve"> </w:t>
      </w:r>
      <w:r w:rsidR="00F325EF">
        <w:rPr>
          <w:i/>
          <w:iCs/>
          <w:color w:val="000000"/>
          <w:spacing w:val="1"/>
          <w:w w:val="99"/>
          <w:sz w:val="23"/>
          <w:szCs w:val="23"/>
        </w:rPr>
        <w:t>ac</w:t>
      </w:r>
      <w:r w:rsidR="00F325EF">
        <w:rPr>
          <w:i/>
          <w:iCs/>
          <w:color w:val="000000"/>
          <w:spacing w:val="1"/>
          <w:w w:val="83"/>
          <w:sz w:val="23"/>
          <w:szCs w:val="23"/>
        </w:rPr>
        <w:t>t</w:t>
      </w:r>
      <w:r w:rsidR="00F325EF">
        <w:rPr>
          <w:i/>
          <w:iCs/>
          <w:color w:val="000000"/>
          <w:spacing w:val="1"/>
          <w:sz w:val="23"/>
          <w:szCs w:val="23"/>
        </w:rPr>
        <w:t>i</w:t>
      </w:r>
      <w:r w:rsidR="00F325EF">
        <w:rPr>
          <w:i/>
          <w:iCs/>
          <w:color w:val="000000"/>
          <w:spacing w:val="1"/>
          <w:w w:val="99"/>
          <w:sz w:val="23"/>
          <w:szCs w:val="23"/>
        </w:rPr>
        <w:t>vi</w:t>
      </w:r>
      <w:r w:rsidR="00F325EF">
        <w:rPr>
          <w:i/>
          <w:iCs/>
          <w:color w:val="000000"/>
          <w:w w:val="99"/>
          <w:sz w:val="23"/>
          <w:szCs w:val="23"/>
        </w:rPr>
        <w:t>s</w:t>
      </w:r>
      <w:r w:rsidR="00F325EF">
        <w:rPr>
          <w:i/>
          <w:iCs/>
          <w:color w:val="000000"/>
          <w:spacing w:val="1"/>
          <w:w w:val="99"/>
          <w:sz w:val="23"/>
          <w:szCs w:val="23"/>
        </w:rPr>
        <w:t>ts</w:t>
      </w:r>
      <w:r w:rsidR="00F325EF">
        <w:rPr>
          <w:i/>
          <w:iCs/>
          <w:color w:val="000000"/>
          <w:sz w:val="23"/>
          <w:szCs w:val="23"/>
        </w:rPr>
        <w:t xml:space="preserve"> </w:t>
      </w:r>
      <w:r w:rsidR="00F325EF">
        <w:rPr>
          <w:i/>
          <w:iCs/>
          <w:color w:val="000000"/>
          <w:w w:val="99"/>
          <w:sz w:val="23"/>
          <w:szCs w:val="23"/>
        </w:rPr>
        <w:t>who</w:t>
      </w:r>
      <w:r w:rsidR="00F325EF">
        <w:rPr>
          <w:i/>
          <w:iCs/>
          <w:color w:val="000000"/>
          <w:sz w:val="23"/>
          <w:szCs w:val="23"/>
        </w:rPr>
        <w:t xml:space="preserve"> </w:t>
      </w:r>
      <w:r w:rsidR="00F325EF">
        <w:rPr>
          <w:i/>
          <w:iCs/>
          <w:color w:val="000000"/>
          <w:w w:val="99"/>
          <w:sz w:val="23"/>
          <w:szCs w:val="23"/>
        </w:rPr>
        <w:t>are</w:t>
      </w:r>
      <w:r w:rsidR="00F325EF">
        <w:rPr>
          <w:i/>
          <w:iCs/>
          <w:color w:val="000000"/>
          <w:sz w:val="23"/>
          <w:szCs w:val="23"/>
        </w:rPr>
        <w:t xml:space="preserve"> </w:t>
      </w:r>
      <w:r w:rsidR="00F325EF">
        <w:rPr>
          <w:i/>
          <w:iCs/>
          <w:color w:val="000000"/>
          <w:w w:val="99"/>
          <w:sz w:val="23"/>
          <w:szCs w:val="23"/>
        </w:rPr>
        <w:t>dedi</w:t>
      </w:r>
      <w:r w:rsidR="00F325EF">
        <w:rPr>
          <w:i/>
          <w:iCs/>
          <w:color w:val="000000"/>
          <w:spacing w:val="-1"/>
          <w:w w:val="99"/>
          <w:sz w:val="23"/>
          <w:szCs w:val="23"/>
        </w:rPr>
        <w:t>c</w:t>
      </w:r>
      <w:r w:rsidR="00F325EF">
        <w:rPr>
          <w:i/>
          <w:iCs/>
          <w:color w:val="000000"/>
          <w:w w:val="99"/>
          <w:sz w:val="23"/>
          <w:szCs w:val="23"/>
        </w:rPr>
        <w:t>a</w:t>
      </w:r>
      <w:r w:rsidR="00F325EF">
        <w:rPr>
          <w:i/>
          <w:iCs/>
          <w:color w:val="000000"/>
          <w:spacing w:val="-2"/>
          <w:w w:val="99"/>
          <w:sz w:val="23"/>
          <w:szCs w:val="23"/>
        </w:rPr>
        <w:t>t</w:t>
      </w:r>
      <w:r w:rsidR="00F325EF">
        <w:rPr>
          <w:i/>
          <w:iCs/>
          <w:color w:val="000000"/>
          <w:w w:val="99"/>
          <w:sz w:val="23"/>
          <w:szCs w:val="23"/>
        </w:rPr>
        <w:t>ed</w:t>
      </w:r>
      <w:r w:rsidR="00F325EF">
        <w:rPr>
          <w:i/>
          <w:iCs/>
          <w:color w:val="000000"/>
          <w:sz w:val="23"/>
          <w:szCs w:val="23"/>
        </w:rPr>
        <w:t xml:space="preserve"> </w:t>
      </w:r>
      <w:r w:rsidR="00F325EF">
        <w:rPr>
          <w:i/>
          <w:iCs/>
          <w:color w:val="000000"/>
          <w:spacing w:val="-2"/>
          <w:w w:val="99"/>
          <w:sz w:val="23"/>
          <w:szCs w:val="23"/>
        </w:rPr>
        <w:t>t</w:t>
      </w:r>
      <w:r w:rsidR="00F325EF">
        <w:rPr>
          <w:i/>
          <w:iCs/>
          <w:color w:val="000000"/>
          <w:w w:val="99"/>
          <w:sz w:val="23"/>
          <w:szCs w:val="23"/>
        </w:rPr>
        <w:t>o</w:t>
      </w:r>
      <w:r w:rsidR="00F325EF">
        <w:rPr>
          <w:i/>
          <w:iCs/>
          <w:color w:val="000000"/>
          <w:sz w:val="23"/>
          <w:szCs w:val="23"/>
        </w:rPr>
        <w:t xml:space="preserve"> </w:t>
      </w:r>
      <w:r w:rsidR="00F325EF">
        <w:rPr>
          <w:i/>
          <w:iCs/>
          <w:color w:val="000000"/>
          <w:w w:val="99"/>
          <w:sz w:val="23"/>
          <w:szCs w:val="23"/>
        </w:rPr>
        <w:t>helping</w:t>
      </w:r>
      <w:r w:rsidR="00F325EF">
        <w:rPr>
          <w:i/>
          <w:iCs/>
          <w:color w:val="000000"/>
          <w:sz w:val="23"/>
          <w:szCs w:val="23"/>
        </w:rPr>
        <w:t xml:space="preserve"> </w:t>
      </w:r>
      <w:r w:rsidR="00F325EF">
        <w:rPr>
          <w:i/>
          <w:iCs/>
          <w:color w:val="000000"/>
          <w:w w:val="99"/>
          <w:sz w:val="23"/>
          <w:szCs w:val="23"/>
        </w:rPr>
        <w:t>the</w:t>
      </w:r>
      <w:r w:rsidR="00F325EF">
        <w:rPr>
          <w:i/>
          <w:iCs/>
          <w:color w:val="000000"/>
          <w:sz w:val="23"/>
          <w:szCs w:val="23"/>
        </w:rPr>
        <w:t xml:space="preserve"> </w:t>
      </w:r>
      <w:r w:rsidR="00F325EF">
        <w:rPr>
          <w:i/>
          <w:iCs/>
          <w:color w:val="000000"/>
          <w:w w:val="99"/>
          <w:sz w:val="23"/>
          <w:szCs w:val="23"/>
        </w:rPr>
        <w:t>S</w:t>
      </w:r>
      <w:r w:rsidR="00F325EF">
        <w:rPr>
          <w:i/>
          <w:iCs/>
          <w:color w:val="000000"/>
          <w:spacing w:val="-2"/>
          <w:w w:val="99"/>
          <w:sz w:val="23"/>
          <w:szCs w:val="23"/>
        </w:rPr>
        <w:t>t</w:t>
      </w:r>
      <w:r w:rsidR="00F325EF">
        <w:rPr>
          <w:i/>
          <w:iCs/>
          <w:color w:val="000000"/>
          <w:w w:val="99"/>
          <w:sz w:val="23"/>
          <w:szCs w:val="23"/>
        </w:rPr>
        <w:t>a</w:t>
      </w:r>
      <w:r w:rsidR="00F325EF">
        <w:rPr>
          <w:i/>
          <w:iCs/>
          <w:color w:val="000000"/>
          <w:spacing w:val="-2"/>
          <w:w w:val="99"/>
          <w:sz w:val="23"/>
          <w:szCs w:val="23"/>
        </w:rPr>
        <w:t>t</w:t>
      </w:r>
      <w:r w:rsidR="00F325EF">
        <w:rPr>
          <w:i/>
          <w:iCs/>
          <w:color w:val="000000"/>
          <w:w w:val="99"/>
          <w:sz w:val="23"/>
          <w:szCs w:val="23"/>
        </w:rPr>
        <w:t>e</w:t>
      </w:r>
      <w:r w:rsidR="00F325EF">
        <w:rPr>
          <w:i/>
          <w:iCs/>
          <w:color w:val="000000"/>
          <w:sz w:val="23"/>
          <w:szCs w:val="23"/>
        </w:rPr>
        <w:t xml:space="preserve"> </w:t>
      </w:r>
      <w:r w:rsidR="00F325EF">
        <w:rPr>
          <w:i/>
          <w:iCs/>
          <w:color w:val="000000"/>
          <w:w w:val="99"/>
          <w:sz w:val="23"/>
          <w:szCs w:val="23"/>
        </w:rPr>
        <w:t>of</w:t>
      </w:r>
      <w:r w:rsidR="00F325EF">
        <w:rPr>
          <w:i/>
          <w:iCs/>
          <w:color w:val="000000"/>
          <w:sz w:val="23"/>
          <w:szCs w:val="23"/>
        </w:rPr>
        <w:t xml:space="preserve"> </w:t>
      </w:r>
      <w:r w:rsidR="00F325EF">
        <w:rPr>
          <w:i/>
          <w:iCs/>
          <w:color w:val="000000"/>
          <w:w w:val="99"/>
          <w:sz w:val="23"/>
          <w:szCs w:val="23"/>
        </w:rPr>
        <w:t>Cali</w:t>
      </w:r>
      <w:r w:rsidR="00F325EF">
        <w:rPr>
          <w:i/>
          <w:iCs/>
          <w:color w:val="000000"/>
          <w:spacing w:val="-2"/>
          <w:w w:val="99"/>
          <w:sz w:val="23"/>
          <w:szCs w:val="23"/>
        </w:rPr>
        <w:t>f</w:t>
      </w:r>
      <w:r w:rsidR="00F325EF">
        <w:rPr>
          <w:i/>
          <w:iCs/>
          <w:color w:val="000000"/>
          <w:w w:val="99"/>
          <w:sz w:val="23"/>
          <w:szCs w:val="23"/>
        </w:rPr>
        <w:t>ornia</w:t>
      </w:r>
      <w:r w:rsidR="00F325EF">
        <w:rPr>
          <w:i/>
          <w:iCs/>
          <w:color w:val="000000"/>
          <w:sz w:val="23"/>
          <w:szCs w:val="23"/>
        </w:rPr>
        <w:t xml:space="preserve"> </w:t>
      </w:r>
      <w:r w:rsidR="00F325EF">
        <w:rPr>
          <w:i/>
          <w:iCs/>
          <w:color w:val="000000"/>
          <w:w w:val="99"/>
          <w:sz w:val="23"/>
          <w:szCs w:val="23"/>
        </w:rPr>
        <w:t>cra</w:t>
      </w:r>
      <w:r w:rsidR="00F325EF">
        <w:rPr>
          <w:i/>
          <w:iCs/>
          <w:color w:val="000000"/>
          <w:sz w:val="23"/>
          <w:szCs w:val="23"/>
        </w:rPr>
        <w:t>f</w:t>
      </w:r>
      <w:r w:rsidR="00F325EF">
        <w:rPr>
          <w:i/>
          <w:iCs/>
          <w:color w:val="000000"/>
          <w:w w:val="91"/>
          <w:sz w:val="23"/>
          <w:szCs w:val="23"/>
        </w:rPr>
        <w:t>t</w:t>
      </w:r>
      <w:r w:rsidR="00F325EF">
        <w:rPr>
          <w:i/>
          <w:iCs/>
          <w:color w:val="000000"/>
          <w:sz w:val="23"/>
          <w:szCs w:val="23"/>
        </w:rPr>
        <w:t xml:space="preserve"> </w:t>
      </w:r>
      <w:r w:rsidR="00F325EF">
        <w:rPr>
          <w:i/>
          <w:iCs/>
          <w:color w:val="000000"/>
          <w:w w:val="99"/>
          <w:sz w:val="23"/>
          <w:szCs w:val="23"/>
        </w:rPr>
        <w:t>equi</w:t>
      </w:r>
      <w:r w:rsidR="00F325EF">
        <w:rPr>
          <w:i/>
          <w:iCs/>
          <w:color w:val="000000"/>
          <w:spacing w:val="-2"/>
          <w:w w:val="99"/>
          <w:sz w:val="23"/>
          <w:szCs w:val="23"/>
        </w:rPr>
        <w:t>t</w:t>
      </w:r>
      <w:r w:rsidR="00F325EF">
        <w:rPr>
          <w:i/>
          <w:iCs/>
          <w:color w:val="000000"/>
          <w:w w:val="99"/>
          <w:sz w:val="23"/>
          <w:szCs w:val="23"/>
        </w:rPr>
        <w:t>able,</w:t>
      </w:r>
      <w:r w:rsidR="00F325EF">
        <w:rPr>
          <w:i/>
          <w:iCs/>
          <w:color w:val="000000"/>
          <w:sz w:val="23"/>
          <w:szCs w:val="23"/>
        </w:rPr>
        <w:t xml:space="preserve"> </w:t>
      </w:r>
      <w:r w:rsidR="00F325EF">
        <w:rPr>
          <w:i/>
          <w:iCs/>
          <w:color w:val="000000"/>
          <w:w w:val="99"/>
          <w:sz w:val="23"/>
          <w:szCs w:val="23"/>
        </w:rPr>
        <w:t>su</w:t>
      </w:r>
      <w:r w:rsidR="00F325EF">
        <w:rPr>
          <w:i/>
          <w:iCs/>
          <w:color w:val="000000"/>
          <w:spacing w:val="-2"/>
          <w:w w:val="99"/>
          <w:sz w:val="23"/>
          <w:szCs w:val="23"/>
        </w:rPr>
        <w:t>s</w:t>
      </w:r>
      <w:r w:rsidR="00F325EF">
        <w:rPr>
          <w:i/>
          <w:iCs/>
          <w:color w:val="000000"/>
          <w:spacing w:val="-3"/>
          <w:w w:val="99"/>
          <w:sz w:val="23"/>
          <w:szCs w:val="23"/>
        </w:rPr>
        <w:t>t</w:t>
      </w:r>
      <w:r w:rsidR="00F325EF">
        <w:rPr>
          <w:i/>
          <w:iCs/>
          <w:color w:val="000000"/>
          <w:w w:val="99"/>
          <w:sz w:val="23"/>
          <w:szCs w:val="23"/>
        </w:rPr>
        <w:t>ainable,</w:t>
      </w:r>
      <w:r w:rsidR="00F325EF">
        <w:rPr>
          <w:i/>
          <w:iCs/>
          <w:color w:val="000000"/>
          <w:sz w:val="23"/>
          <w:szCs w:val="23"/>
        </w:rPr>
        <w:t xml:space="preserve"> </w:t>
      </w:r>
      <w:r w:rsidR="00F325EF">
        <w:rPr>
          <w:i/>
          <w:iCs/>
          <w:color w:val="000000"/>
          <w:w w:val="99"/>
          <w:sz w:val="23"/>
          <w:szCs w:val="23"/>
        </w:rPr>
        <w:t>and</w:t>
      </w:r>
      <w:r w:rsidR="00F325EF">
        <w:rPr>
          <w:i/>
          <w:iCs/>
          <w:color w:val="000000"/>
          <w:sz w:val="23"/>
          <w:szCs w:val="23"/>
        </w:rPr>
        <w:t xml:space="preserve"> </w:t>
      </w:r>
      <w:r w:rsidR="00F325EF">
        <w:rPr>
          <w:i/>
          <w:iCs/>
          <w:color w:val="000000"/>
          <w:spacing w:val="-1"/>
          <w:w w:val="99"/>
          <w:sz w:val="23"/>
          <w:szCs w:val="23"/>
        </w:rPr>
        <w:t>c</w:t>
      </w:r>
      <w:r w:rsidR="00F325EF">
        <w:rPr>
          <w:i/>
          <w:iCs/>
          <w:color w:val="000000"/>
          <w:w w:val="99"/>
          <w:sz w:val="23"/>
          <w:szCs w:val="23"/>
        </w:rPr>
        <w:t>os</w:t>
      </w:r>
      <w:r w:rsidR="00F325EF">
        <w:rPr>
          <w:i/>
          <w:iCs/>
          <w:color w:val="000000"/>
          <w:spacing w:val="-6"/>
          <w:w w:val="99"/>
          <w:sz w:val="23"/>
          <w:szCs w:val="23"/>
        </w:rPr>
        <w:t>t</w:t>
      </w:r>
      <w:r w:rsidR="00F325EF">
        <w:rPr>
          <w:i/>
          <w:iCs/>
          <w:color w:val="000000"/>
          <w:w w:val="99"/>
          <w:sz w:val="23"/>
          <w:szCs w:val="23"/>
        </w:rPr>
        <w:t>-e</w:t>
      </w:r>
      <w:r w:rsidR="00F325EF">
        <w:rPr>
          <w:i/>
          <w:iCs/>
          <w:color w:val="000000"/>
          <w:spacing w:val="-2"/>
          <w:w w:val="99"/>
          <w:sz w:val="23"/>
          <w:szCs w:val="23"/>
        </w:rPr>
        <w:t>ﬀ</w:t>
      </w:r>
      <w:r w:rsidR="00F325EF">
        <w:rPr>
          <w:i/>
          <w:iCs/>
          <w:color w:val="000000"/>
          <w:w w:val="99"/>
          <w:sz w:val="23"/>
          <w:szCs w:val="23"/>
        </w:rPr>
        <w:t>ec</w:t>
      </w:r>
      <w:r w:rsidR="00F325EF">
        <w:rPr>
          <w:i/>
          <w:iCs/>
          <w:color w:val="000000"/>
          <w:w w:val="83"/>
          <w:sz w:val="23"/>
          <w:szCs w:val="23"/>
        </w:rPr>
        <w:t>t</w:t>
      </w:r>
      <w:r w:rsidR="00F325EF">
        <w:rPr>
          <w:i/>
          <w:iCs/>
          <w:color w:val="000000"/>
          <w:spacing w:val="1"/>
          <w:sz w:val="23"/>
          <w:szCs w:val="23"/>
        </w:rPr>
        <w:t>i</w:t>
      </w:r>
      <w:r w:rsidR="00F325EF">
        <w:rPr>
          <w:i/>
          <w:iCs/>
          <w:color w:val="000000"/>
          <w:spacing w:val="1"/>
          <w:w w:val="99"/>
          <w:sz w:val="23"/>
          <w:szCs w:val="23"/>
        </w:rPr>
        <w:t>ve</w:t>
      </w:r>
      <w:r w:rsidR="00F325EF">
        <w:rPr>
          <w:i/>
          <w:iCs/>
          <w:color w:val="000000"/>
          <w:sz w:val="23"/>
          <w:szCs w:val="23"/>
        </w:rPr>
        <w:t xml:space="preserve"> </w:t>
      </w:r>
      <w:r w:rsidR="00F325EF">
        <w:rPr>
          <w:i/>
          <w:iCs/>
          <w:color w:val="000000"/>
          <w:spacing w:val="-1"/>
          <w:w w:val="99"/>
          <w:sz w:val="23"/>
          <w:szCs w:val="23"/>
        </w:rPr>
        <w:t>s</w:t>
      </w:r>
      <w:r w:rsidR="00F325EF">
        <w:rPr>
          <w:i/>
          <w:iCs/>
          <w:color w:val="000000"/>
          <w:w w:val="99"/>
          <w:sz w:val="23"/>
          <w:szCs w:val="23"/>
        </w:rPr>
        <w:t>tra</w:t>
      </w:r>
      <w:r w:rsidR="00F325EF">
        <w:rPr>
          <w:i/>
          <w:iCs/>
          <w:color w:val="000000"/>
          <w:spacing w:val="-2"/>
          <w:w w:val="99"/>
          <w:sz w:val="23"/>
          <w:szCs w:val="23"/>
        </w:rPr>
        <w:t>t</w:t>
      </w:r>
      <w:r w:rsidR="00F325EF">
        <w:rPr>
          <w:i/>
          <w:iCs/>
          <w:color w:val="000000"/>
          <w:w w:val="99"/>
          <w:sz w:val="23"/>
          <w:szCs w:val="23"/>
        </w:rPr>
        <w:t>egies</w:t>
      </w:r>
      <w:r w:rsidR="00F325EF">
        <w:rPr>
          <w:i/>
          <w:iCs/>
          <w:color w:val="000000"/>
          <w:sz w:val="23"/>
          <w:szCs w:val="23"/>
        </w:rPr>
        <w:t xml:space="preserve"> </w:t>
      </w:r>
      <w:r w:rsidR="00F325EF">
        <w:rPr>
          <w:i/>
          <w:iCs/>
          <w:color w:val="000000"/>
          <w:spacing w:val="-2"/>
          <w:w w:val="99"/>
          <w:sz w:val="23"/>
          <w:szCs w:val="23"/>
        </w:rPr>
        <w:t>f</w:t>
      </w:r>
      <w:r w:rsidR="00F325EF">
        <w:rPr>
          <w:i/>
          <w:iCs/>
          <w:color w:val="000000"/>
          <w:w w:val="99"/>
          <w:sz w:val="23"/>
          <w:szCs w:val="23"/>
        </w:rPr>
        <w:t>or</w:t>
      </w:r>
      <w:r w:rsidR="00F325EF">
        <w:rPr>
          <w:i/>
          <w:iCs/>
          <w:color w:val="000000"/>
          <w:sz w:val="23"/>
          <w:szCs w:val="23"/>
        </w:rPr>
        <w:t xml:space="preserve"> </w:t>
      </w:r>
      <w:r w:rsidR="00F325EF">
        <w:rPr>
          <w:i/>
          <w:iCs/>
          <w:color w:val="000000"/>
          <w:w w:val="99"/>
          <w:sz w:val="23"/>
          <w:szCs w:val="23"/>
        </w:rPr>
        <w:t>clima</w:t>
      </w:r>
      <w:r w:rsidR="00F325EF">
        <w:rPr>
          <w:i/>
          <w:iCs/>
          <w:color w:val="000000"/>
          <w:spacing w:val="-2"/>
          <w:w w:val="99"/>
          <w:sz w:val="23"/>
          <w:szCs w:val="23"/>
        </w:rPr>
        <w:t>t</w:t>
      </w:r>
      <w:r w:rsidR="00F325EF">
        <w:rPr>
          <w:i/>
          <w:iCs/>
          <w:color w:val="000000"/>
          <w:w w:val="99"/>
          <w:sz w:val="23"/>
          <w:szCs w:val="23"/>
        </w:rPr>
        <w:t>e</w:t>
      </w:r>
      <w:r w:rsidR="00F325EF">
        <w:rPr>
          <w:i/>
          <w:iCs/>
          <w:color w:val="000000"/>
          <w:sz w:val="23"/>
          <w:szCs w:val="23"/>
        </w:rPr>
        <w:t xml:space="preserve"> </w:t>
      </w:r>
      <w:r w:rsidR="00F325EF">
        <w:rPr>
          <w:i/>
          <w:iCs/>
          <w:color w:val="000000"/>
          <w:spacing w:val="2"/>
          <w:w w:val="99"/>
          <w:sz w:val="23"/>
          <w:szCs w:val="23"/>
        </w:rPr>
        <w:t>mi</w:t>
      </w:r>
      <w:r w:rsidR="00F325EF">
        <w:rPr>
          <w:i/>
          <w:iCs/>
          <w:color w:val="000000"/>
          <w:spacing w:val="2"/>
          <w:w w:val="83"/>
          <w:sz w:val="23"/>
          <w:szCs w:val="23"/>
        </w:rPr>
        <w:t>t</w:t>
      </w:r>
      <w:r w:rsidR="00F325EF">
        <w:rPr>
          <w:i/>
          <w:iCs/>
          <w:color w:val="000000"/>
          <w:spacing w:val="2"/>
          <w:sz w:val="23"/>
          <w:szCs w:val="23"/>
        </w:rPr>
        <w:t>i</w:t>
      </w:r>
      <w:r w:rsidR="00F325EF">
        <w:rPr>
          <w:i/>
          <w:iCs/>
          <w:color w:val="000000"/>
          <w:spacing w:val="2"/>
          <w:w w:val="99"/>
          <w:sz w:val="23"/>
          <w:szCs w:val="23"/>
        </w:rPr>
        <w:t>ga</w:t>
      </w:r>
      <w:r w:rsidR="00F325EF">
        <w:rPr>
          <w:i/>
          <w:iCs/>
          <w:color w:val="000000"/>
          <w:spacing w:val="3"/>
          <w:w w:val="83"/>
          <w:sz w:val="23"/>
          <w:szCs w:val="23"/>
        </w:rPr>
        <w:t>t</w:t>
      </w:r>
      <w:r w:rsidR="00F325EF">
        <w:rPr>
          <w:i/>
          <w:iCs/>
          <w:color w:val="000000"/>
          <w:spacing w:val="2"/>
          <w:sz w:val="23"/>
          <w:szCs w:val="23"/>
        </w:rPr>
        <w:t>i</w:t>
      </w:r>
      <w:r w:rsidR="00F325EF">
        <w:rPr>
          <w:i/>
          <w:iCs/>
          <w:color w:val="000000"/>
          <w:spacing w:val="2"/>
          <w:w w:val="99"/>
          <w:sz w:val="23"/>
          <w:szCs w:val="23"/>
        </w:rPr>
        <w:t>on</w:t>
      </w:r>
      <w:r w:rsidR="00F325EF">
        <w:rPr>
          <w:i/>
          <w:iCs/>
          <w:color w:val="000000"/>
          <w:sz w:val="23"/>
          <w:szCs w:val="23"/>
        </w:rPr>
        <w:t xml:space="preserve"> </w:t>
      </w:r>
      <w:r w:rsidR="00F325EF">
        <w:rPr>
          <w:i/>
          <w:iCs/>
          <w:color w:val="000000"/>
          <w:w w:val="99"/>
          <w:sz w:val="23"/>
          <w:szCs w:val="23"/>
        </w:rPr>
        <w:t>and</w:t>
      </w:r>
      <w:r w:rsidR="00F325EF">
        <w:rPr>
          <w:i/>
          <w:iCs/>
          <w:color w:val="000000"/>
          <w:sz w:val="23"/>
          <w:szCs w:val="23"/>
        </w:rPr>
        <w:t xml:space="preserve"> </w:t>
      </w:r>
      <w:r w:rsidR="00F325EF">
        <w:rPr>
          <w:i/>
          <w:iCs/>
          <w:color w:val="000000"/>
          <w:w w:val="99"/>
          <w:sz w:val="23"/>
          <w:szCs w:val="23"/>
        </w:rPr>
        <w:t>adapta</w:t>
      </w:r>
      <w:r w:rsidR="00F325EF">
        <w:rPr>
          <w:i/>
          <w:iCs/>
          <w:color w:val="000000"/>
          <w:spacing w:val="1"/>
          <w:w w:val="83"/>
          <w:sz w:val="23"/>
          <w:szCs w:val="23"/>
        </w:rPr>
        <w:t>t</w:t>
      </w:r>
      <w:r w:rsidR="00F325EF">
        <w:rPr>
          <w:i/>
          <w:iCs/>
          <w:color w:val="000000"/>
          <w:spacing w:val="1"/>
          <w:sz w:val="23"/>
          <w:szCs w:val="23"/>
        </w:rPr>
        <w:t>i</w:t>
      </w:r>
      <w:r w:rsidR="00F325EF">
        <w:rPr>
          <w:i/>
          <w:iCs/>
          <w:color w:val="000000"/>
          <w:spacing w:val="1"/>
          <w:w w:val="99"/>
          <w:sz w:val="23"/>
          <w:szCs w:val="23"/>
        </w:rPr>
        <w:t>on</w:t>
      </w:r>
      <w:r w:rsidR="00F325EF">
        <w:rPr>
          <w:color w:val="000000"/>
          <w:spacing w:val="1"/>
          <w:w w:val="99"/>
          <w:sz w:val="23"/>
          <w:szCs w:val="23"/>
        </w:rPr>
        <w:t>.</w:t>
      </w:r>
    </w:p>
    <w:p w14:paraId="36AB0C9A" w14:textId="77777777" w:rsidR="00E90B46" w:rsidRPr="00062B2E" w:rsidRDefault="00E90B46" w:rsidP="00694342">
      <w:pPr>
        <w:widowControl w:val="0"/>
        <w:spacing w:line="277" w:lineRule="auto"/>
        <w:ind w:right="584"/>
        <w:rPr>
          <w:color w:val="000000"/>
          <w:w w:val="99"/>
          <w:sz w:val="24"/>
          <w:szCs w:val="24"/>
        </w:rPr>
      </w:pPr>
    </w:p>
    <w:sectPr w:rsidR="00E90B46" w:rsidRPr="00062B2E" w:rsidSect="00694342">
      <w:headerReference w:type="default" r:id="rId12"/>
      <w:footerReference w:type="default" r:id="rId13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3E80A" w14:textId="77777777" w:rsidR="003B2F96" w:rsidRDefault="003B2F96" w:rsidP="00F325EF">
      <w:pPr>
        <w:spacing w:line="240" w:lineRule="auto"/>
      </w:pPr>
      <w:r>
        <w:separator/>
      </w:r>
    </w:p>
  </w:endnote>
  <w:endnote w:type="continuationSeparator" w:id="0">
    <w:p w14:paraId="0E58FB8D" w14:textId="77777777" w:rsidR="003B2F96" w:rsidRDefault="003B2F96" w:rsidP="00F32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8671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362541" w14:textId="4691ED6C" w:rsidR="00F325EF" w:rsidRDefault="00F325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FA6E8C" w14:textId="77777777" w:rsidR="00F325EF" w:rsidRDefault="00F325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621D6" w14:textId="77777777" w:rsidR="003B2F96" w:rsidRDefault="003B2F96" w:rsidP="00F325EF">
      <w:pPr>
        <w:spacing w:line="240" w:lineRule="auto"/>
      </w:pPr>
      <w:r>
        <w:separator/>
      </w:r>
    </w:p>
  </w:footnote>
  <w:footnote w:type="continuationSeparator" w:id="0">
    <w:p w14:paraId="28FA87B9" w14:textId="77777777" w:rsidR="003B2F96" w:rsidRDefault="003B2F96" w:rsidP="00F325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1660" w14:textId="3EE93F8B" w:rsidR="00F325EF" w:rsidRDefault="00F325EF">
    <w:pPr>
      <w:pStyle w:val="Header"/>
      <w:jc w:val="center"/>
    </w:pPr>
  </w:p>
  <w:p w14:paraId="649FF162" w14:textId="77777777" w:rsidR="00F325EF" w:rsidRDefault="00F325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D2187"/>
    <w:multiLevelType w:val="hybridMultilevel"/>
    <w:tmpl w:val="D2D84424"/>
    <w:lvl w:ilvl="0" w:tplc="78827AA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BC03F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2C2BC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7A99E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DCBE6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246E4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2C4DD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1E42E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C6CC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6695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42"/>
    <w:rsid w:val="000518B6"/>
    <w:rsid w:val="000F5847"/>
    <w:rsid w:val="00155901"/>
    <w:rsid w:val="001F2EEC"/>
    <w:rsid w:val="00222011"/>
    <w:rsid w:val="002A5351"/>
    <w:rsid w:val="002E72E3"/>
    <w:rsid w:val="00397535"/>
    <w:rsid w:val="003A7D17"/>
    <w:rsid w:val="003B2F96"/>
    <w:rsid w:val="003C15BC"/>
    <w:rsid w:val="00414727"/>
    <w:rsid w:val="00497260"/>
    <w:rsid w:val="004E280B"/>
    <w:rsid w:val="005959FE"/>
    <w:rsid w:val="005F06BE"/>
    <w:rsid w:val="00694342"/>
    <w:rsid w:val="006A785B"/>
    <w:rsid w:val="0071048B"/>
    <w:rsid w:val="00875F5A"/>
    <w:rsid w:val="0087771F"/>
    <w:rsid w:val="008E7C11"/>
    <w:rsid w:val="008F726C"/>
    <w:rsid w:val="009955A3"/>
    <w:rsid w:val="009D3F82"/>
    <w:rsid w:val="009F27EB"/>
    <w:rsid w:val="00A10A91"/>
    <w:rsid w:val="00A137FA"/>
    <w:rsid w:val="00BA3F94"/>
    <w:rsid w:val="00C07605"/>
    <w:rsid w:val="00C25F3C"/>
    <w:rsid w:val="00C34992"/>
    <w:rsid w:val="00CC4DE1"/>
    <w:rsid w:val="00CE707D"/>
    <w:rsid w:val="00D74AD1"/>
    <w:rsid w:val="00DD1F4D"/>
    <w:rsid w:val="00DD52A8"/>
    <w:rsid w:val="00E01E6E"/>
    <w:rsid w:val="00E3262F"/>
    <w:rsid w:val="00E90B46"/>
    <w:rsid w:val="00EB5FF7"/>
    <w:rsid w:val="00ED0511"/>
    <w:rsid w:val="00ED4C23"/>
    <w:rsid w:val="00EF6E89"/>
    <w:rsid w:val="00F06F6B"/>
    <w:rsid w:val="00F150A8"/>
    <w:rsid w:val="00F325EF"/>
    <w:rsid w:val="00F83831"/>
    <w:rsid w:val="00F8793A"/>
    <w:rsid w:val="00FD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B47B0"/>
  <w15:chartTrackingRefBased/>
  <w15:docId w15:val="{B2D844F9-E7BD-4D75-83FD-46FE06EB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342"/>
    <w:pPr>
      <w:spacing w:after="0"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3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3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3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3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3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3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3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s">
    <w:name w:val="Footnotes"/>
    <w:basedOn w:val="FootnoteText"/>
    <w:link w:val="FootnotesChar"/>
    <w:qFormat/>
    <w:rsid w:val="00222011"/>
    <w:pPr>
      <w:spacing w:after="120"/>
    </w:pPr>
    <w:rPr>
      <w:sz w:val="24"/>
      <w:szCs w:val="24"/>
    </w:rPr>
  </w:style>
  <w:style w:type="character" w:customStyle="1" w:styleId="FootnotesChar">
    <w:name w:val="Footnotes Char"/>
    <w:basedOn w:val="FootnoteTextChar"/>
    <w:link w:val="Footnotes"/>
    <w:rsid w:val="00222011"/>
    <w:rPr>
      <w:rFonts w:ascii="Times New Roman" w:hAnsi="Times New Roman"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20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2011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94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3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3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3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3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3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3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3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3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3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342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3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3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342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3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79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9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1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25E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5E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25E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5E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0F584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5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48385">
          <w:marLeft w:val="96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2.arb.ca.gov/sites/default/files/barcu/regact/2026/cap_invest/nc_isor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limatefutureca.or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haas.berkeley.edu/energy-institute/research/abstracts/wp-33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xt10.org/publications/electricity-rates-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Marshall</dc:creator>
  <cp:keywords/>
  <dc:description/>
  <cp:lastModifiedBy>Jonathan Marshall</cp:lastModifiedBy>
  <cp:revision>7</cp:revision>
  <dcterms:created xsi:type="dcterms:W3CDTF">2026-03-03T22:36:00Z</dcterms:created>
  <dcterms:modified xsi:type="dcterms:W3CDTF">2026-03-08T00:34:00Z</dcterms:modified>
</cp:coreProperties>
</file>